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Existing Business Asset Transfer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Seller/transferor and buyer/transferee: </w:t>
      </w:r>
      <w:r>
        <w:rPr>
          <w:highlight w:val="yellow"/>
        </w:rPr>
        <w:t>[names/addresses]</w:t>
      </w:r>
      <w:r>
        <w:t xml:space="preserve">. Closing date: </w:t>
      </w:r>
      <w:r>
        <w:rPr>
          <w:highlight w:val="yellow"/>
        </w:rPr>
        <w:t>[date]</w:t>
      </w:r>
      <w:r>
        <w:t xml:space="preserve">. Asset, excluded-asset, assumed-obligation and retained-obligation schedules: </w:t>
      </w:r>
      <w:r>
        <w:rPr>
          <w:highlight w:val="yellow"/>
        </w:rPr>
        <w:t>[attached versions]</w:t>
      </w:r>
      <w:r>
        <w:t xml:space="preserve">. Price/consideration and allocation: </w:t>
      </w:r>
      <w:r>
        <w:rPr>
          <w:highlight w:val="yellow"/>
        </w:rPr>
        <w:t>[terms]</w:t>
      </w:r>
      <w:r>
        <w:t xml:space="preserve">. Conditions, consents and tax review: </w:t>
      </w:r>
      <w:r>
        <w:rPr>
          <w:highlight w:val="yellow"/>
        </w:rPr>
        <w:t>[list]</w:t>
      </w:r>
      <w:r>
        <w:t xml:space="preserve">. Notice contacts: </w:t>
      </w:r>
      <w:r>
        <w:rPr>
          <w:highlight w:val="yellow"/>
        </w:rPr>
        <w:t>[contacts]</w:t>
      </w:r>
      <w:r>
        <w:t>.</w:t>
      </w:r>
    </w:p>
    <w:p>
      <w:pPr>
        <w:pStyle w:val="Heading1"/>
      </w:pPr>
      <w:r>
        <w:t>1. Assets and liabilities</w:t>
      </w:r>
    </w:p>
    <w:p>
      <w:pPr/>
      <w:r>
        <w:t>Transfer only identified assets on the closing schedule. Buyer assumes only expressly listed obligations; Seller retains the remainder subject to mandatory successor-liability rules. Describe contracts, IP, equipment, accounts, receivables and data separately. A new incorporation is not itself an asset transfer. Record predecessor business information separately from NewCo history.</w:t>
      </w:r>
    </w:p>
    <w:p>
      <w:pPr>
        <w:pStyle w:val="Heading1"/>
      </w:pPr>
      <w:r>
        <w:t>2. Consents and lawful data use</w:t>
      </w:r>
    </w:p>
    <w:p>
      <w:pPr/>
      <w:r>
        <w:t>Contracts and licenses transfer only with required consent. Identify assignment and change-of-control restrictions. Employee transfers, customer data and regulated assets require their own lawful process. If a consent is pending, state the interim arrangement, outside date and consequence without representing a completed assignment.</w:t>
      </w:r>
    </w:p>
    <w:p>
      <w:pPr>
        <w:pStyle w:val="Heading1"/>
      </w:pPr>
      <w:r>
        <w:t>3. Closing and evidence</w:t>
      </w:r>
    </w:p>
    <w:p>
      <w:pPr/>
      <w:r>
        <w:t>At closing exchange signed assignments/bills of sale, required approvals, consideration, consent evidence and secure access handover. Equity consideration is implemented through separately approved issuance documents. Allocate consideration with actual tax advice; no tax-free transfer or QSBS eligibility is warranted.</w:t>
      </w:r>
    </w:p>
    <w:p>
      <w:pPr>
        <w:pStyle w:val="Heading1"/>
      </w:pPr>
      <w:r>
        <w:t>4. Assurances and remedies</w:t>
      </w:r>
    </w:p>
    <w:p>
      <w:pPr/>
      <w:r>
        <w:t xml:space="preserve">Seller's representations concerning title, authority, records, disclosed liabilities and claims, Buyer representations, survival, indemnity process, caps and any escrow are </w:t>
      </w:r>
      <w:r>
        <w:rPr>
          <w:highlight w:val="yellow"/>
        </w:rPr>
        <w:t>[completed negotiated schedule]</w:t>
      </w:r>
      <w:r>
        <w:t>. A disclosure schedule qualifies only identified representations. No blank indemnity supplies unlimited liability by implication.</w:t>
      </w:r>
    </w:p>
    <w:p>
      <w:pPr>
        <w:pStyle w:val="Heading1"/>
      </w:pPr>
      <w:r>
        <w:t>5. Transition</w:t>
      </w:r>
    </w:p>
    <w:p>
      <w:pPr/>
      <w:r>
        <w:t xml:space="preserve">Specify service continuity, collections, customer notices, support and expense allocation for </w:t>
      </w:r>
      <w:r>
        <w:rPr>
          <w:highlight w:val="yellow"/>
        </w:rPr>
        <w:t>[period]</w:t>
      </w:r>
      <w:r>
        <w:t>. Preserve lawfully required records and protect confidential information. Distinguish post-closing operations from retained liabilities and unresolved ownership gaps.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Existing Business Asset Transfer Agreement</dc:title>
  <dc:subject>Move specifically scheduled assets and obligations from an existing business into a new company.</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