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Option Exercise Notice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Issuer/optionee: </w:t>
      </w:r>
      <w:r>
        <w:rPr>
          <w:highlight w:val="yellow"/>
        </w:rPr>
        <w:t>[names]</w:t>
      </w:r>
      <w:r>
        <w:t xml:space="preserve">. Grant and governing agreement: </w:t>
      </w:r>
      <w:r>
        <w:rPr>
          <w:highlight w:val="yellow"/>
        </w:rPr>
        <w:t>[date/version]</w:t>
      </w:r>
      <w:r>
        <w:t xml:space="preserve">. Exercise submission date: </w:t>
      </w:r>
      <w:r>
        <w:rPr>
          <w:highlight w:val="yellow"/>
        </w:rPr>
        <w:t>[date]</w:t>
      </w:r>
      <w:r>
        <w:t>.</w:t>
      </w:r>
    </w:p>
    <w:p>
      <w:pPr>
        <w:pStyle w:val="Heading1"/>
      </w:pPr>
      <w:r>
        <w:t>Exercise election</w:t>
      </w:r>
    </w:p>
    <w:p>
      <w:pPr/>
      <w:r/>
      <w:r>
        <w:rPr>
          <w:highlight w:val="yellow"/>
        </w:rPr>
        <w:t>[Shares/class; vested/unvested breakdown; exercise price; total; permitted payment method]</w:t>
      </w:r>
      <w:r>
        <w:t>. Confirm unexpired exercise rights using the actual agreement. Unvested exercise requires permitted early exercise and a signed restricted-stock companion.</w:t>
      </w:r>
    </w:p>
    <w:p>
      <w:pPr>
        <w:pStyle w:val="Heading1"/>
      </w:pPr>
      <w:r>
        <w:t>Acceptance and issuance</w:t>
      </w:r>
    </w:p>
    <w:p>
      <w:pPr/>
      <w:r>
        <w:t xml:space="preserve">Company verifies timely receipt, payment, approvals, withholding/reporting and required transfer documents before recording actual issuance. Company confirmation: </w:t>
      </w:r>
      <w:r>
        <w:rPr>
          <w:highlight w:val="yellow"/>
        </w:rPr>
        <w:t>[actual shares, transfer date, payment receipt and ledger entry]</w:t>
      </w:r>
      <w:r>
        <w:t>. A submitted notice is not evidence of completed transfer.</w:t>
      </w:r>
    </w:p>
    <w:p>
      <w:pPr>
        <w:pStyle w:val="Heading1"/>
      </w:pPr>
      <w:r>
        <w:t>Tax information</w:t>
      </w:r>
    </w:p>
    <w:p>
      <w:pPr/>
      <w:r>
        <w:t>Obtain individual tax advice for the actual instrument/transfer, including any applicable 83(b) election. Company supplies required factual information; the optionee remains responsible for personal filings. Do not place tax identifiers in public repositories.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Option Exercise Notice</dc:title>
  <dc:subject>Request exercise under an existing approved option.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