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Fee and Commission Schedule</w:t>
      </w:r>
    </w:p>
    <w:p>
      <w: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pPr>
        <w:pStyle w:val="Heading1"/>
      </w:pPr>
      <w:r>
        <w:t>Commercial Terms</w:t>
      </w:r>
    </w:p>
    <w:p>
      <w:pPr/>
      <w:r>
        <w:t xml:space="preserve">Parties/main agreement: </w:t>
      </w:r>
      <w:r>
        <w:rPr>
          <w:highlight w:val="yellow"/>
        </w:rPr>
        <w:t>[names/version]</w:t>
      </w:r>
      <w:r>
        <w:t xml:space="preserve">. Effective period/currency: </w:t>
      </w:r>
      <w:r>
        <w:rPr>
          <w:highlight w:val="yellow"/>
        </w:rPr>
        <w:t>[details]</w:t>
      </w:r>
      <w:r>
        <w:t>.</w:t>
      </w:r>
    </w:p>
    <w:p>
      <w:pPr>
        <w:pStyle w:val="Heading1"/>
      </w:pPr>
      <w:r>
        <w:t>Calculation</w:t>
      </w:r>
    </w:p>
    <w:p>
      <w:pPr/>
      <w:r/>
      <w:r>
        <w:rPr>
          <w:highlight w:val="yellow"/>
        </w:rPr>
        <w:t>[Item or covered transaction; quantity/base; rate; fixed amount; permitted deductions; tax treatment]</w:t>
      </w:r>
      <w:r>
        <w:t>. Identify gross receipts, commission receipts and pass-through funds separately. For multiple introducers/accounts, record allocation and avoid double counting.</w:t>
      </w:r>
    </w:p>
    <w:p>
      <w:pPr>
        <w:pStyle w:val="Heading1"/>
      </w:pPr>
      <w:r>
        <w:t>Payment</w:t>
      </w:r>
    </w:p>
    <w:p>
      <w:pPr/>
      <w:r/>
      <w:r>
        <w:rPr>
          <w:highlight w:val="yellow"/>
        </w:rPr>
        <w:t>[Invoice/statement period; due date; supporting records; currency conversion; refunds/chargebacks; disputed-item process; records review]</w:t>
      </w:r>
      <w:r>
        <w:t>. No deduction for unrelated overhead or automatic negative payment applies unless expressly agreed and lawful.</w:t>
      </w:r>
    </w:p>
    <w:p>
      <w:pPr>
        <w:pStyle w:val="Heading1"/>
      </w:pPr>
      <w:r>
        <w:t>Changes</w:t>
      </w:r>
    </w:p>
    <w:p>
      <w:pPr/>
      <w:r>
        <w:t>Fee changes need the main agreement’s approval and notice. Record prospective date and affected transactions. Accrued earned sums remain due. This schedule does not authorize financing or securities commissions.</w:t>
      </w:r>
    </w:p>
    <w:p>
      <w:pPr>
        <w:pStyle w:val="Heading1"/>
      </w:pPr>
      <w:r>
        <w:t>General terms</w:t>
      </w:r>
    </w:p>
    <w:p>
      <w:pPr/>
      <w:r>
        <w:t xml:space="preserve">Formal notices go to the contacts and delivery methods in the Commercial Terms. Governing law: </w:t>
      </w:r>
      <w:r>
        <w:rPr>
          <w:highlight w:val="yellow"/>
        </w:rPr>
        <w:t>[state and country]</w:t>
      </w:r>
      <w:r>
        <w:t xml:space="preserve">; dispute forum: </w:t>
      </w:r>
      <w:r>
        <w:rPr>
          <w:highlight w:val="yellow"/>
        </w:rPr>
        <w:t>[court and venue, or separately completed arbitration provision]</w:t>
      </w:r>
      <w:r>
        <w:t xml:space="preserve">, subject to mandatory law. The parties will first meet in good faith within </w:t>
      </w:r>
      <w:r>
        <w:rPr>
          <w:highlight w:val="yellow"/>
        </w:rPr>
        <w:t>[days]</w:t>
      </w:r>
      <w:r>
        <w:t xml:space="preserve"> after a dispute notice; this does not delay urgent relief or a filing deadline. This document and the signed schedules listed here constitute the agreement on this subject. Changes require a writing signed by the affected parties. A schedule overrides another document only by identifying the provision and the agreed replacement. No provision silently amends an existing equity, financing, or employment instrument. Severability applies to the extent lawful. Neither party may transfer this agreement without the other's written consent except to a successor acquiring the relevant business that assumes its obligations in writing, subject to any expressly agreed restrictions. Counterparts and electronic signatures are permitted.</w:t>
      </w:r>
    </w:p>
    <w:p>
      <w:pPr>
        <w:pStyle w:val="Heading1"/>
        <w:keepNext/>
      </w:pPr>
      <w:r>
        <w:t>Signatures</w:t>
      </w:r>
    </w:p>
    <w:p>
      <w:pPr>
        <w:keepNext/>
      </w:pPr>
      <w:r>
        <w:t xml:space="preserve">Party A: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pPr>
      <w:r>
        <w:t xml:space="preserve">Party B: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val="0"/>
      </w:pPr>
      <w:r>
        <w:t xml:space="preserve">Signed schedules and implementing documents: </w:t>
      </w:r>
      <w:r>
        <w:rPr>
          <w:highlight w:val="yellow"/>
        </w:rPr>
        <w:t>[list, dates, and versions, or none]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Fee and Commission Schedule</dc:title>
  <dc:subject>Define fees, deductions, receipts and payment records.</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