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Founder Departure and Buyout Agreement</w:t>
      </w:r>
    </w:p>
    <w:p>
      <w:r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pPr>
        <w:pStyle w:val="Heading1"/>
      </w:pPr>
      <w:r>
        <w:t>Commercial Terms</w:t>
      </w:r>
    </w:p>
    <w:p>
      <w:pPr/>
      <w:r>
        <w:t xml:space="preserve">Company, departing founder and purchasing parties: </w:t>
      </w:r>
      <w:r>
        <w:rPr>
          <w:highlight w:val="yellow"/>
        </w:rPr>
        <w:t>[names/addresses]</w:t>
      </w:r>
      <w:r>
        <w:t xml:space="preserve">. Founder/equity agreements: </w:t>
      </w:r>
      <w:r>
        <w:rPr>
          <w:highlight w:val="yellow"/>
        </w:rPr>
        <w:t>[versions]</w:t>
      </w:r>
      <w:r>
        <w:t xml:space="preserve">. Service-end date: </w:t>
      </w:r>
      <w:r>
        <w:rPr>
          <w:highlight w:val="yellow"/>
        </w:rPr>
        <w:t>[date]</w:t>
      </w:r>
      <w:r>
        <w:t xml:space="preserve">. Shares/interests to transfer and retained holdings: </w:t>
      </w:r>
      <w:r>
        <w:rPr>
          <w:highlight w:val="yellow"/>
        </w:rPr>
        <w:t>[schedule]</w:t>
      </w:r>
      <w:r>
        <w:t xml:space="preserve">. Actual buyer, price, valuation method, payment dates/security and approvals: </w:t>
      </w:r>
      <w:r>
        <w:rPr>
          <w:highlight w:val="yellow"/>
        </w:rPr>
        <w:t>[terms]</w:t>
      </w:r>
      <w:r>
        <w:t xml:space="preserve">. Accrued compensation: </w:t>
      </w:r>
      <w:r>
        <w:rPr>
          <w:highlight w:val="yellow"/>
        </w:rPr>
        <w:t>[schedule]</w:t>
      </w:r>
      <w:r>
        <w:t>.</w:t>
      </w:r>
    </w:p>
    <w:p>
      <w:pPr>
        <w:pStyle w:val="Heading1"/>
      </w:pPr>
      <w:r>
        <w:t>1. Separate events</w:t>
      </w:r>
    </w:p>
    <w:p>
      <w:pPr/>
      <w:r>
        <w:t>Service ends only as stated, subject to applicable employment/service obligations. No ownership disappears because a role ends. Identify already vested shares, unvested repurchase rights, options and actual deadlines from signed instruments. Retained holdings preserve rights except those expressly and lawfully changed with required consent.</w:t>
      </w:r>
    </w:p>
    <w:p>
      <w:pPr>
        <w:pStyle w:val="Heading1"/>
      </w:pPr>
      <w:r>
        <w:t>2. Buyout and closing</w:t>
      </w:r>
    </w:p>
    <w:p>
      <w:pPr/>
      <w:r>
        <w:t>Transfer only scheduled interests after agreed valuation, approvals, lawful funds/solvency review, consideration and executed transfer instruments. Use independent fair value where the governing agreement requires it; no unagreed minority or marketability discount is inserted. Instalments, security, default remedies and title-transfer timing must be complete. Corporate and LLC interests need their actual distinct instruments and tax analysis.</w:t>
      </w:r>
    </w:p>
    <w:p>
      <w:pPr>
        <w:pStyle w:val="Heading1"/>
      </w:pPr>
      <w:r>
        <w:t>3. Handover and communications</w:t>
      </w:r>
    </w:p>
    <w:p>
      <w:pPr/>
      <w:r>
        <w:t xml:space="preserve">Deliver work, company-owned access, factual records and unresolved dependencies. Identify retained background IP and licenses required for continuity. Public statements, customer notices and transition support are </w:t>
      </w:r>
      <w:r>
        <w:rPr>
          <w:highlight w:val="yellow"/>
        </w:rPr>
        <w:t>[terms]</w:t>
      </w:r>
      <w:r>
        <w:t>. Preserve confidential information and lawful protected disclosures; no broad new competition restraint is implied.</w:t>
      </w:r>
    </w:p>
    <w:p>
      <w:pPr>
        <w:pStyle w:val="Heading1"/>
      </w:pPr>
      <w:r>
        <w:t>4. Settlement boundaries</w:t>
      </w:r>
    </w:p>
    <w:p>
      <w:pPr>
        <w:keepNext/>
      </w:pPr>
      <w:r>
        <w:t>Pay earned compensation and reimbursable expenses separately from purchase consideration. A release, if desired, must identify consideration, claims and nonwaivable exclusions and use a separate employment package where applicable. Record remaining obligations, guarantees and third-party consents. This document cannot bind investors or lenders without consent.</w:t>
      </w:r>
    </w:p>
    <w:p>
      <w:pPr>
        <w:pStyle w:val="Heading1"/>
        <w:keepNext/>
      </w:pPr>
      <w:r>
        <w:t>Signatures</w:t>
      </w:r>
    </w:p>
    <w:p>
      <w:pPr>
        <w:keepNext w:val="0"/>
      </w:pPr>
      <w:r>
        <w:t xml:space="preserve">Company: </w:t>
      </w:r>
      <w:r>
        <w:rPr>
          <w:highlight w:val="yellow"/>
        </w:rPr>
        <w:t>[authorized signature/title/date]</w:t>
      </w:r>
      <w:r>
        <w:t xml:space="preserve">. Departing founder: </w:t>
      </w:r>
      <w:r>
        <w:rPr>
          <w:highlight w:val="yellow"/>
        </w:rPr>
        <w:t>[signature/date]</w:t>
      </w:r>
      <w:r>
        <w:t xml:space="preserve">. Each actual purchaser: </w:t>
      </w:r>
      <w:r>
        <w:rPr>
          <w:highlight w:val="yellow"/>
        </w:rPr>
        <w:t>[name, authorized signature/date]</w:t>
      </w:r>
      <w:r>
        <w:t xml:space="preserve">. Required consenting parties: </w:t>
      </w:r>
      <w:r>
        <w:rPr>
          <w:highlight w:val="yellow"/>
        </w:rPr>
        <w:t>[names/signatures or none]</w:t>
      </w:r>
      <w:r>
        <w:t>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Founder Departure and Buyout Agreement</dc:title>
  <dc:subject>Separate service exit from ownership transfer with valuation and consent evidence.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