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Founder Governance Implementation Guide</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Coordinate corporate and holding-LLC protections with actual instruments and approvals.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and ownership path: </w:t>
      </w:r>
      <w:r>
        <w:rPr>
          <w:highlight w:val="yellow"/>
        </w:rPr>
        <w:t>[direct-stock corporation / California holding LLC plus Delaware corporation]</w:t>
      </w:r>
      <w:r>
        <w:t xml:space="preserve">. Actual governing instruments: </w:t>
      </w:r>
      <w:r>
        <w:rPr>
          <w:highlight w:val="yellow"/>
        </w:rPr>
        <w:t>[versions]</w:t>
      </w:r>
      <w:r>
        <w:t xml:space="preserve">. Closing coordinator: </w:t>
      </w:r>
      <w:r>
        <w:rPr>
          <w:highlight w:val="yellow"/>
        </w:rPr>
        <w:t>[name]</w:t>
      </w:r>
      <w:r>
        <w:t>.</w:t>
      </w:r>
    </w:p>
    <w:p>
      <w:pPr>
        <w:pStyle w:val="Heading1"/>
      </w:pPr>
      <w:r>
        <w:t>Direct stock path</w:t>
      </w:r>
    </w:p>
    <w:p>
      <w:pPr/>
      <w:r>
        <w:t>Confirm formation, charter, bylaws, board appointments, founder purchases, IP transfers and cap table. Implement agreed nomination, information, reserved-matter, transfer, co-sale and drag rights in valid signed corporate instruments. Incoming holders execute required joinders. Founder promises alone do not bind outsiders or override director duties.</w:t>
      </w:r>
    </w:p>
    <w:p>
      <w:pPr>
        <w:pStyle w:val="Heading1"/>
      </w:pPr>
      <w:r>
        <w:t>Holding structure path</w:t>
      </w:r>
    </w:p>
    <w:p>
      <w:pPr/>
      <w:r>
        <w:t>Confirm both entities, actual LLC membership, operating agreement, tax classification and the LLC’s corporate holdings. Corporate approvals implement protections where needed. Later corporate stockholders do not automatically join the LLC. Track direct corporate stock and indirect founder economics separately, and use the holding agreement’s tax/ownership records.</w:t>
      </w:r>
    </w:p>
    <w:p>
      <w:pPr>
        <w:pStyle w:val="Heading1"/>
      </w:pPr>
      <w:r>
        <w:t>Approval and closing checklist</w:t>
      </w:r>
    </w:p>
    <w:p>
      <w:pPr/>
      <w:r/>
      <w:r>
        <w:rPr>
          <w:highlight w:val="yellow"/>
        </w:rPr>
        <w:t>[Document; approving body; affected-party consent; signatory; consideration; effective date; evidence; remaining condition]</w:t>
      </w:r>
      <w:r>
        <w:t>. Complete board/shareholder actions through the actual lawful process. Any charter/bylaw or investor-rights wording needs entity-specific drafting; this guide supplies coordination, not a universal charter.</w:t>
      </w:r>
    </w:p>
    <w:p>
      <w:pPr>
        <w:pStyle w:val="Heading1"/>
      </w:pPr>
      <w:r>
        <w:t>Ongoing changes</w:t>
      </w:r>
    </w:p>
    <w:p>
      <w:pPr/>
      <w:r>
        <w:t>Reconcile new investors, grants, transfers, departures and changes of control across the instrument chain. Administrative records cannot supply missing minority consent or modify protected economics. Store signed evidence privately and cross-link the data-room index.</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Founder Governance Implementation Guide</dc:title>
  <dc:subject>Coordinate corporate and holding-LLC protections with actual instruments and approvals.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