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Technology and IP Assignment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Transfer identified existing technology with an actual asset schedule and chain of title.</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Assignor and assignee: </w:t>
      </w:r>
      <w:r>
        <w:rPr>
          <w:highlight w:val="yellow"/>
        </w:rPr>
        <w:t>[names/entities/addresses]</w:t>
      </w:r>
      <w:r>
        <w:t xml:space="preserve">. Effective transfer date: </w:t>
      </w:r>
      <w:r>
        <w:rPr>
          <w:highlight w:val="yellow"/>
        </w:rPr>
        <w:t>[date]</w:t>
      </w:r>
      <w:r>
        <w:t xml:space="preserve">. Assigned assets and exclusions: signed IP Schedule. Consideration and payment/issuance mechanism: </w:t>
      </w:r>
      <w:r>
        <w:rPr>
          <w:highlight w:val="yellow"/>
        </w:rPr>
        <w:t>[cash/property/equity terms]</w:t>
      </w:r>
      <w:r>
        <w:t xml:space="preserve">. Required consents and encumbrances: </w:t>
      </w:r>
      <w:r>
        <w:rPr>
          <w:highlight w:val="yellow"/>
        </w:rPr>
        <w:t>[schedule]</w:t>
      </w:r>
      <w:r>
        <w:t xml:space="preserve">. Transfer deliverables and acceptance: </w:t>
      </w:r>
      <w:r>
        <w:rPr>
          <w:highlight w:val="yellow"/>
        </w:rPr>
        <w:t>[list]</w:t>
      </w:r>
      <w:r>
        <w:t xml:space="preserve">. Notice contacts: </w:t>
      </w:r>
      <w:r>
        <w:rPr>
          <w:highlight w:val="yellow"/>
        </w:rPr>
        <w:t>[contacts]</w:t>
      </w:r>
      <w:r>
        <w:t>.</w:t>
      </w:r>
    </w:p>
    <w:p>
      <w:pPr>
        <w:pStyle w:val="Heading1"/>
      </w:pPr>
      <w:r>
        <w:t>1. Identified transfer</w:t>
      </w:r>
    </w:p>
    <w:p>
      <w:pPr/>
      <w:r>
        <w:t>Assignor transfers to Assignee the rights Assignor actually owns in the specifically listed technology, source materials, documentation and associated IP, including listed registrations and claims to the extent lawfully assignable. Rights not identified or not owned are not purportedly transferred. List domains, repositories, datasets, model-related rights and credentials handover procedures separately; never place credentials in the asset schedule.</w:t>
      </w:r>
    </w:p>
    <w:p>
      <w:pPr>
        <w:pStyle w:val="Heading1"/>
      </w:pPr>
      <w:r>
        <w:t>2. Exceptions and dependencies</w:t>
      </w:r>
    </w:p>
    <w:p>
      <w:pPr/>
      <w:r>
        <w:t>Disclose background materials, third-party licenses, open-source obligations, liens, prior grants and consent requirements. A third-party license transfers only if permitted and any needed consent is obtained. For retained embedded technology, sign an adequate separate license. Transfer of personal data requires a lawful basis and applicable notices/consents; ownership of code is not ownership of people or their data.</w:t>
      </w:r>
    </w:p>
    <w:p>
      <w:pPr>
        <w:pStyle w:val="Heading1"/>
      </w:pPr>
      <w:r>
        <w:t>3. Consideration and closing</w:t>
      </w:r>
    </w:p>
    <w:p>
      <w:pPr/>
      <w:r>
        <w:t>Payment and transfer timing are as stated. Equity consideration requires actual issuer approvals, a signed purchase/issuance instrument and evidence of consideration; this assignment does not issue shares. No tax-free treatment is promised. Close only when identified consents and deliverables are completed, or record precisely what remains and its effect.</w:t>
      </w:r>
    </w:p>
    <w:p>
      <w:pPr>
        <w:pStyle w:val="Heading1"/>
      </w:pPr>
      <w:r>
        <w:t>4. Assurances and assistance</w:t>
      </w:r>
    </w:p>
    <w:p>
      <w:pPr/>
      <w:r>
        <w:t xml:space="preserve">Assignor represents authority and disclosed chain of title and warrants no undisclosed prior disposition inconsistent with the transfer, subject to listed exceptions. Liability and remedies: </w:t>
      </w:r>
      <w:r>
        <w:rPr>
          <w:highlight w:val="yellow"/>
        </w:rPr>
        <w:t>[negotiated terms]</w:t>
      </w:r>
      <w:r>
        <w:t>. Assignor provides reasonable further documentation at Assignee's expense. Any moral-right waiver applies only to the extent lawful; unwaivable rights remain. No general noncompete is created.</w:t>
      </w:r>
    </w:p>
    <w:p>
      <w:pPr>
        <w:pStyle w:val="Heading1"/>
      </w:pPr>
      <w:r>
        <w:t>5. Records</w:t>
      </w:r>
    </w:p>
    <w:p>
      <w:pPr/>
      <w:r>
        <w:t xml:space="preserve">Both parties retain executed asset schedules, consent evidence, transfer dates and consideration records. Company-controlled repositories and accounts receive agreed administrative access through secure channels. Transition support, duration and fee: </w:t>
      </w:r>
      <w:r>
        <w:rPr>
          <w:highlight w:val="yellow"/>
        </w:rPr>
        <w:t>[terms or none]</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Technology and IP Assignment Agreement</dc:title>
  <dc:subject>Transfer identified existing technology with an actual asset schedule and chain of title.</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