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Background IP License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Licensor/licensee: </w:t>
      </w:r>
      <w:r>
        <w:rPr>
          <w:highlight w:val="yellow"/>
        </w:rPr>
        <w:t>[names/addresses]</w:t>
      </w:r>
      <w:r>
        <w:t xml:space="preserve">. Licensed materials and rights owned: IP Schedule. Scope: </w:t>
      </w:r>
      <w:r>
        <w:rPr>
          <w:highlight w:val="yellow"/>
        </w:rPr>
        <w:t>[field, territory, duration, exclusivity]</w:t>
      </w:r>
      <w:r>
        <w:t xml:space="preserve">. Permitted use, modification, distribution and sublicensing: </w:t>
      </w:r>
      <w:r>
        <w:rPr>
          <w:highlight w:val="yellow"/>
        </w:rPr>
        <w:t>[specific rights]</w:t>
      </w:r>
      <w:r>
        <w:t xml:space="preserve">. Fees/royalties, reports and audits: </w:t>
      </w:r>
      <w:r>
        <w:rPr>
          <w:highlight w:val="yellow"/>
        </w:rPr>
        <w:t>[terms]</w:t>
      </w:r>
      <w:r>
        <w:t xml:space="preserve">. Support/source delivery: </w:t>
      </w:r>
      <w:r>
        <w:rPr>
          <w:highlight w:val="yellow"/>
        </w:rPr>
        <w:t>[terms or none]</w:t>
      </w:r>
      <w:r>
        <w:t xml:space="preserve">. Notice contacts: </w:t>
      </w:r>
      <w:r>
        <w:rPr>
          <w:highlight w:val="yellow"/>
        </w:rPr>
        <w:t>[contacts]</w:t>
      </w:r>
      <w:r>
        <w:t>.</w:t>
      </w:r>
    </w:p>
    <w:p>
      <w:pPr>
        <w:pStyle w:val="Heading1"/>
      </w:pPr>
      <w:r>
        <w:t>1. Grant</w:t>
      </w:r>
    </w:p>
    <w:p>
      <w:pPr/>
      <w:r>
        <w:t>Licensor grants only the completed rights in the identified materials, subject to disclosed third-party restrictions. Specify whether the license survives founder departure, ownership changes and sale of the business, and whether affiliates, contractors and customers may use it. A license described as sufficient must actually cover the product's delivery and maintenance model. Unlisted rights are reserved.</w:t>
      </w:r>
    </w:p>
    <w:p>
      <w:pPr>
        <w:pStyle w:val="Heading1"/>
      </w:pPr>
      <w:r>
        <w:t>2. Improvements and dependencies</w:t>
      </w:r>
    </w:p>
    <w:p>
      <w:pPr/>
      <w:r>
        <w:t xml:space="preserve">Each party retains its background IP. Ownership and licenses for modifications, feedback and jointly developed material are </w:t>
      </w:r>
      <w:r>
        <w:rPr>
          <w:highlight w:val="yellow"/>
        </w:rPr>
        <w:t>[explicit terms]</w:t>
      </w:r>
      <w:r>
        <w:t>. No blanket transfer of unrelated future work occurs. Record open-source, data and AI-model dependencies and conditions; Licensor cannot grant rights it lacks.</w:t>
      </w:r>
    </w:p>
    <w:p>
      <w:pPr>
        <w:pStyle w:val="Heading1"/>
      </w:pPr>
      <w:r>
        <w:t>3. Fees and performance</w:t>
      </w:r>
    </w:p>
    <w:p>
      <w:pPr/>
      <w:r>
        <w:t xml:space="preserve">Licensee pays undisputed fees on the schedule and supplies agreed royalty reports. Audit scope, frequency, confidentiality and cost allocation are </w:t>
      </w:r>
      <w:r>
        <w:rPr>
          <w:highlight w:val="yellow"/>
        </w:rPr>
        <w:t>[terms]</w:t>
      </w:r>
      <w:r>
        <w:t>. Support, updates, compatibility and security commitments exist only as completed. No outcome or uptime promise arises from the license alone.</w:t>
      </w:r>
    </w:p>
    <w:p>
      <w:pPr>
        <w:pStyle w:val="Heading1"/>
      </w:pPr>
      <w:r>
        <w:t>4. Assurance and risk</w:t>
      </w:r>
    </w:p>
    <w:p>
      <w:pPr/>
      <w:r>
        <w:t xml:space="preserve">Licensor represents authority and discloses known claims and encumbrances. Any infringement remedy, warranty, indemnity and liability cap must be expressly stated </w:t>
      </w:r>
      <w:r>
        <w:rPr>
          <w:highlight w:val="yellow"/>
        </w:rPr>
        <w:t>[terms]</w:t>
      </w:r>
      <w:r>
        <w:t>. Licensee uses materials within scope and complies with applicable data and export requirements. Each party controls its own compliance.</w:t>
      </w:r>
    </w:p>
    <w:p>
      <w:pPr>
        <w:pStyle w:val="Heading1"/>
      </w:pPr>
      <w:r>
        <w:t>5. Termination and continuity</w:t>
      </w:r>
    </w:p>
    <w:p>
      <w:pPr/>
      <w:r>
        <w:t xml:space="preserve">Term, breach cure and convenience termination are </w:t>
      </w:r>
      <w:r>
        <w:rPr>
          <w:highlight w:val="yellow"/>
        </w:rPr>
        <w:t>[terms]</w:t>
      </w:r>
      <w:r>
        <w:t>. State treatment of embedded deployments, customer sublicenses, paid-up rights, archives and transition; do not accidentally revoke operating rights on a founder's service departure. Upon expiry only rights expressly surviving continue. Return/deletion duties preserve lawful records and agreed customer continuity.</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Background IP License Agreement</dc:title>
  <dc:subject>License identified background technology with a scope sufficient for the venture’s actual use.</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