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Background IP and Dependency Schedule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Record actual ownership, exclusions and licenses for contributed materials.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Parties/main agreement: </w:t>
      </w:r>
      <w:r>
        <w:rPr>
          <w:highlight w:val="yellow"/>
        </w:rPr>
        <w:t>[names/version]</w:t>
      </w:r>
      <w:r>
        <w:t xml:space="preserve">. Schedule date and custodian: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Asset record</w:t>
      </w:r>
    </w:p>
    <w:p>
      <w:pPr/>
      <w:r>
        <w:t xml:space="preserve">Repeat for each item: </w:t>
      </w:r>
      <w:r>
        <w:rPr>
          <w:highlight w:val="yellow"/>
        </w:rPr>
        <w:t>[description/version; actual owner; contributor chain; preexisting/new work; assignment or license instrument; allowed uses/modifications/sublicenses; restrictions; consent evidence; liens/prior grants; transfer date]</w:t>
      </w:r>
      <w:r>
        <w:t>. State none where genuinely absent, rather than leaving an ambiguous blank.</w:t>
      </w:r>
    </w:p>
    <w:p>
      <w:pPr>
        <w:pStyle w:val="Heading1"/>
      </w:pPr>
      <w:r>
        <w:t>Dependencies</w:t>
      </w:r>
    </w:p>
    <w:p>
      <w:pPr/>
      <w:r/>
      <w:r>
        <w:rPr>
          <w:highlight w:val="yellow"/>
        </w:rPr>
        <w:t>[Open-source components/licenses; third-party software; datasets; AI models/tools; generated-material rights limits; disclosure/security restrictions]</w:t>
      </w:r>
      <w:r>
        <w:t>. Record intended uses against actual rights. No ownership is inferred merely from possession or AI-assisted creation.</w:t>
      </w:r>
    </w:p>
    <w:p>
      <w:pPr>
        <w:pStyle w:val="Heading1"/>
      </w:pPr>
      <w:r>
        <w:t>Control and gaps</w:t>
      </w:r>
    </w:p>
    <w:p>
      <w:pPr/>
      <w:r/>
      <w:r>
        <w:rPr>
          <w:highlight w:val="yellow"/>
        </w:rPr>
        <w:t>[Company repository/domain/cloud control evidence; handover owner/date; unresolved rights and remedial action]</w:t>
      </w:r>
      <w:r>
        <w:t>. Never include passwords, API keys or private customer data. Identify prior-business assets separately. This inventory alone is not an assignment or license.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Background IP and Dependency Schedule</dc:title>
  <dc:subject>Record actual ownership, exclusions and licenses for contributed materials.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