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Non Disclosure Agreement</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Parties and addresses: </w:t>
      </w:r>
      <w:r>
        <w:rPr>
          <w:highlight w:val="yellow"/>
        </w:rPr>
        <w:t>[names/addresses]</w:t>
      </w:r>
      <w:r>
        <w:t xml:space="preserve">. Effective date: </w:t>
      </w:r>
      <w:r>
        <w:rPr>
          <w:highlight w:val="yellow"/>
        </w:rPr>
        <w:t>[date]</w:t>
      </w:r>
      <w:r>
        <w:t xml:space="preserve">. Purpose: </w:t>
      </w:r>
      <w:r>
        <w:rPr>
          <w:highlight w:val="yellow"/>
        </w:rPr>
        <w:t>[specific evaluation]</w:t>
      </w:r>
      <w:r>
        <w:t xml:space="preserve">. Disclosure mode: </w:t>
      </w:r>
      <w:r>
        <w:rPr>
          <w:highlight w:val="yellow"/>
        </w:rPr>
        <w:t>[mutual / one-way, with named discloser and recipient]</w:t>
      </w:r>
      <w:r>
        <w:t xml:space="preserve">. Disclosure period: </w:t>
      </w:r>
      <w:r>
        <w:rPr>
          <w:highlight w:val="yellow"/>
        </w:rPr>
        <w:t>[dates]</w:t>
      </w:r>
      <w:r>
        <w:t xml:space="preserve">. Confidentiality duration: </w:t>
      </w:r>
      <w:r>
        <w:rPr>
          <w:highlight w:val="yellow"/>
        </w:rPr>
        <w:t>[years from each disclosure]</w:t>
      </w:r>
      <w:r>
        <w:t xml:space="preserve">; trade secrets while legally qualifying. Authorized recipients: </w:t>
      </w:r>
      <w:r>
        <w:rPr>
          <w:highlight w:val="yellow"/>
        </w:rPr>
        <w:t>[categories]</w:t>
      </w:r>
      <w:r>
        <w:t xml:space="preserve">. Notice contacts: </w:t>
      </w:r>
      <w:r>
        <w:rPr>
          <w:highlight w:val="yellow"/>
        </w:rPr>
        <w:t>[contacts]</w:t>
      </w:r>
      <w:r>
        <w:t>.</w:t>
      </w:r>
    </w:p>
    <w:p>
      <w:pPr>
        <w:pStyle w:val="Heading1"/>
      </w:pPr>
      <w:r>
        <w:t>1. Covered information</w:t>
      </w:r>
    </w:p>
    <w:p>
      <w:pPr/>
      <w:r>
        <w:t>Confidential Information is nonpublic information disclosed for the Purpose that is marked confidential or reasonably understood to be confidential from its nature and circumstances. Identify any special oral-disclosure confirmation process explicitly. Exclude information demonstrably lawfully public, already known unrestricted, independently developed without protected information or received lawfully unrestricted from another source.</w:t>
      </w:r>
    </w:p>
    <w:p>
      <w:pPr>
        <w:pStyle w:val="Heading1"/>
      </w:pPr>
      <w:r>
        <w:t>2. Use and disclosure</w:t>
      </w:r>
    </w:p>
    <w:p>
      <w:pPr/>
      <w:r>
        <w:t xml:space="preserve">A receiving party uses information only for the Purpose, applies reasonable care and shares only with authorized recipients who need it and have adequate duties. The receiving party is responsible for its representatives as specified </w:t>
      </w:r>
      <w:r>
        <w:rPr>
          <w:highlight w:val="yellow"/>
        </w:rPr>
        <w:t>[terms]</w:t>
      </w:r>
      <w:r>
        <w:t>. Do not upload protected information to an unapproved AI or third-party service. Compelled disclosure is permitted with notice and cooperation where lawful. Protected reporting and nonwaivable rights remain available.</w:t>
      </w:r>
    </w:p>
    <w:p>
      <w:pPr>
        <w:pStyle w:val="Heading1"/>
      </w:pPr>
      <w:r>
        <w:t>3. Rights and return</w:t>
      </w:r>
    </w:p>
    <w:p>
      <w:pPr/>
      <w:r>
        <w:t>Disclosure grants no IP license, ownership, exclusivity, non-circumvention fee or commitment to transact. Neither party must disclose or proceed. On request or evaluation end, return or delete information except lawful archives and inaccessible routine backups retained under continuing duties. Independently developed knowledge remains available, but a residuals clause is not implied.</w:t>
      </w:r>
    </w:p>
    <w:p>
      <w:pPr>
        <w:pStyle w:val="Heading1"/>
      </w:pPr>
      <w:r>
        <w:t>4. Duration and remedies</w:t>
      </w:r>
    </w:p>
    <w:p>
      <w:pPr/>
      <w:r>
        <w:t xml:space="preserve">Duties apply for the completed duration and survive end of discussions. Remedies remain subject to proof, applicable law and the completed liability terms </w:t>
      </w:r>
      <w:r>
        <w:rPr>
          <w:highlight w:val="yellow"/>
        </w:rPr>
        <w:t>[terms or no contractual cap]</w:t>
      </w:r>
      <w:r>
        <w:t xml:space="preserve">. An injunction is not automatic. Any reverse-engineering restriction must be specifically agreed and lawful </w:t>
      </w:r>
      <w:r>
        <w:rPr>
          <w:highlight w:val="yellow"/>
        </w:rPr>
        <w:t>[scope or none]</w:t>
      </w:r>
      <w:r>
        <w:t>.</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Non Disclosure Agreement</dc:title>
  <dc:subject>Protect information during an identified evaluation with one-way or mutual duties.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