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Subscription and Software Order Form</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Provider/customer: </w:t>
      </w:r>
      <w:r>
        <w:rPr>
          <w:highlight w:val="yellow"/>
        </w:rPr>
        <w:t>[names/entities/addresses]</w:t>
      </w:r>
      <w:r>
        <w:t xml:space="preserve">. Order date/number: </w:t>
      </w:r>
      <w:r>
        <w:rPr>
          <w:highlight w:val="yellow"/>
        </w:rPr>
        <w:t>[details]</w:t>
      </w:r>
      <w:r>
        <w:t xml:space="preserve">. Governing service/license agreement and version: </w:t>
      </w:r>
      <w:r>
        <w:rPr>
          <w:highlight w:val="yellow"/>
        </w:rPr>
        <w:t>[details]</w:t>
      </w:r>
      <w:r>
        <w:t>.</w:t>
      </w:r>
    </w:p>
    <w:p>
      <w:pPr>
        <w:pStyle w:val="Heading1"/>
      </w:pPr>
      <w:r>
        <w:t>Purchased service</w:t>
      </w:r>
    </w:p>
    <w:p>
      <w:pPr/>
      <w:r/>
      <w:r>
        <w:rPr>
          <w:highlight w:val="yellow"/>
        </w:rPr>
        <w:t>[Product/version; hosted or self-hosted mode; users/instances; usage limits; start date; dependencies]</w:t>
      </w:r>
      <w:r>
        <w:t xml:space="preserve">. Implementation SOW: </w:t>
      </w:r>
      <w:r>
        <w:rPr>
          <w:highlight w:val="yellow"/>
        </w:rPr>
        <w:t>[version or none]</w:t>
      </w:r>
      <w:r>
        <w:t xml:space="preserve">. SLA/DPA/security attachments: </w:t>
      </w:r>
      <w:r>
        <w:rPr>
          <w:highlight w:val="yellow"/>
        </w:rPr>
        <w:t>[versions or none, with reason]</w:t>
      </w:r>
      <w:r>
        <w:t>. Source rights exist only under a separately selected license.</w:t>
      </w:r>
    </w:p>
    <w:p>
      <w:pPr>
        <w:pStyle w:val="Heading1"/>
      </w:pPr>
      <w:r>
        <w:t>Subscription terms</w:t>
      </w:r>
    </w:p>
    <w:p>
      <w:pPr/>
      <w:r/>
      <w:r>
        <w:rPr>
          <w:highlight w:val="yellow"/>
        </w:rPr>
        <w:t>[Initial term; renewal term; auto-renewal yes/no; cancellation notice and method; fees/currency/taxes; usage measurement; invoicing/payment; price-change notice and customer remedy]</w:t>
      </w:r>
      <w:r>
        <w:t xml:space="preserve">. Refunds, suspension and export period: </w:t>
      </w:r>
      <w:r>
        <w:rPr>
          <w:highlight w:val="yellow"/>
        </w:rPr>
        <w:t>[specific terms]</w:t>
      </w:r>
      <w:r>
        <w:t>. No default historical term is imported.</w:t>
      </w:r>
    </w:p>
    <w:p>
      <w:pPr>
        <w:pStyle w:val="Heading1"/>
      </w:pPr>
      <w:r>
        <w:t>Coordination</w:t>
      </w:r>
    </w:p>
    <w:p>
      <w:pPr/>
      <w:r>
        <w:t>List exact overrides to the governing agreement and required signatures. Other terms continue. Customer authorizes only identified service and processing purposes; this order is not a general-model training consent.</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Subscription and Software Order Form</dc:title>
  <dc:subject>Specify purchased access, charges, renewal and attached service documents.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