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Strategic Partnership and Co Development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Partners: </w:t>
      </w:r>
      <w:r>
        <w:rPr>
          <w:highlight w:val="yellow"/>
        </w:rPr>
        <w:t>[names/addresses]</w:t>
      </w:r>
      <w:r>
        <w:t xml:space="preserve">. Project/purpose and boundaries: </w:t>
      </w:r>
      <w:r>
        <w:rPr>
          <w:highlight w:val="yellow"/>
        </w:rPr>
        <w:t>[scope]</w:t>
      </w:r>
      <w:r>
        <w:t xml:space="preserve">. Contributions, owners, schedule and dependencies: </w:t>
      </w:r>
      <w:r>
        <w:rPr>
          <w:highlight w:val="yellow"/>
        </w:rPr>
        <w:t>[SOW]</w:t>
      </w:r>
      <w:r>
        <w:t xml:space="preserve">. Economics and expenses: </w:t>
      </w:r>
      <w:r>
        <w:rPr>
          <w:highlight w:val="yellow"/>
        </w:rPr>
        <w:t>[fee schedule]</w:t>
      </w:r>
      <w:r>
        <w:t xml:space="preserve">. Governance/authority: </w:t>
      </w:r>
      <w:r>
        <w:rPr>
          <w:highlight w:val="yellow"/>
        </w:rPr>
        <w:t>[decision matrix]</w:t>
      </w:r>
      <w:r>
        <w:t xml:space="preserve">. Background IP and output rights: </w:t>
      </w:r>
      <w:r>
        <w:rPr>
          <w:highlight w:val="yellow"/>
        </w:rPr>
        <w:t>[signed schedules]</w:t>
      </w:r>
      <w:r>
        <w:t xml:space="preserve">. Term and notices: </w:t>
      </w:r>
      <w:r>
        <w:rPr>
          <w:highlight w:val="yellow"/>
        </w:rPr>
        <w:t>[terms]</w:t>
      </w:r>
      <w:r>
        <w:t xml:space="preserve">. Liability and indemnities: </w:t>
      </w:r>
      <w:r>
        <w:rPr>
          <w:highlight w:val="yellow"/>
        </w:rPr>
        <w:t>[negotiated terms]</w:t>
      </w:r>
      <w:r>
        <w:t>.</w:t>
      </w:r>
    </w:p>
    <w:p>
      <w:pPr>
        <w:pStyle w:val="Heading1"/>
      </w:pPr>
      <w:r>
        <w:t>1. Work and governance</w:t>
      </w:r>
    </w:p>
    <w:p>
      <w:pPr/>
      <w:r>
        <w:t>Each party supplies only its scheduled resources and work. Identify accountable people, decisions requiring consent, delegated authority and dependency notice. Neither can bind the other or form a legal partnership through a descriptive title; actual conduct and mandatory law still apply. Equity or venture formation requires separate definitive documents.</w:t>
      </w:r>
    </w:p>
    <w:p>
      <w:pPr>
        <w:pStyle w:val="Heading1"/>
      </w:pPr>
      <w:r>
        <w:t>2. Economics and reporting</w:t>
      </w:r>
    </w:p>
    <w:p>
      <w:pPr/>
      <w:r>
        <w:t>Fees, revenue shares, deductions, receipts, reporting, audit scope and payment dates must be expressly completed. No share is earned by an unpriced contribution or introduction alone. Scope and budget changes need a signed change order. Avoid counting pass-through customer funds as a partner's revenue unless expressly justified.</w:t>
      </w:r>
    </w:p>
    <w:p>
      <w:pPr>
        <w:pStyle w:val="Heading1"/>
      </w:pPr>
      <w:r>
        <w:t>3. Intellectual property</w:t>
      </w:r>
    </w:p>
    <w:p>
      <w:pPr/>
      <w:r>
        <w:t>List each party's background IP and sufficient project-use licenses. Assign or license every deliverable category expressly; do not default to undefined joint ownership. Specify modification, commercialization, sublicensing, feedback, improvements and post-project use. Third-party, open-source and AI/data dependencies require rights checks and recorded restrictions.</w:t>
      </w:r>
    </w:p>
    <w:p>
      <w:pPr>
        <w:pStyle w:val="Heading1"/>
      </w:pPr>
      <w:r>
        <w:t>4. Confidentiality and publicity</w:t>
      </w:r>
    </w:p>
    <w:p>
      <w:pPr/>
      <w:r>
        <w:t xml:space="preserve">Use confidential information only for agreed work, with reasonable safeguards, lawful exclusions, protected disclosures and </w:t>
      </w:r>
      <w:r>
        <w:rPr>
          <w:highlight w:val="yellow"/>
        </w:rPr>
        <w:t>[years]</w:t>
      </w:r>
      <w:r>
        <w:t xml:space="preserve"> survival. Personal data and security need actual role-specific schedules. Joint branding, announcements and references require specific mutual approval. No affiliation with the other's unrelated ventures is implied.</w:t>
      </w:r>
    </w:p>
    <w:p>
      <w:pPr>
        <w:pStyle w:val="Heading1"/>
      </w:pPr>
      <w:r>
        <w:t>5. Exit and stalled work</w:t>
      </w:r>
    </w:p>
    <w:p>
      <w:pPr/>
      <w:r>
        <w:t>State cure, convenience termination, deadlock escalation and outside dates. Record paid work handover, ongoing customer obligations, retained licenses, costs and any buyout. A stalled milestone cannot supply missing approval or erase existing rights. Ownership, accrued payments and confidentiality survive according to express terms.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Strategic Partnership and Co Development Agreement</dc:title>
  <dc:subject>Agree joint commercial or development work without leaving authority and output rights implicit.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