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Priced Round Preparation Guide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Coordinate current official financing models with existing founder protections.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Company, financing owner and counsel: </w:t>
      </w:r>
      <w:r>
        <w:rPr>
          <w:highlight w:val="yellow"/>
        </w:rPr>
        <w:t>[names]</w:t>
      </w:r>
      <w:r>
        <w:t xml:space="preserve">. Proposed round and dated capitalization: </w:t>
      </w:r>
      <w:r>
        <w:rPr>
          <w:highlight w:val="yellow"/>
        </w:rPr>
        <w:t>[records]</w:t>
      </w:r>
      <w:r>
        <w:t>.</w:t>
      </w:r>
    </w:p>
    <w:p>
      <w:pPr>
        <w:pStyle w:val="Heading1"/>
      </w:pPr>
      <w:r>
        <w:t>Official models</w:t>
      </w:r>
    </w:p>
    <w:p>
      <w:pPr/>
      <w:r>
        <w:t>Use current NVCA model documents as a starting point for counsel-led preparation. Select the actual charter, stock purchase, investor-rights, voting and right-of-first-refusal/co-sale instruments applicable to the deal. External licenses and attribution remain with their publishers; these are not republished Awake agreements.</w:t>
      </w:r>
    </w:p>
    <w:p>
      <w:pPr>
        <w:pStyle w:val="Heading1"/>
      </w:pPr>
      <w:r>
        <w:t>Reconciliation</w:t>
      </w:r>
    </w:p>
    <w:p>
      <w:pPr/>
      <w:r>
        <w:t>Review founder protections, board rights, consent thresholds, vesting, transfer/drag terms, existing SAFEs/notes, pool changes and disclosure schedules together. Identify every amendment and affected-holder consent. For a holding structure, coordinate LLC approvals with corporate financing; an investor does not silently join the founder LLC.</w:t>
      </w:r>
    </w:p>
    <w:p>
      <w:pPr>
        <w:pStyle w:val="Heading1"/>
      </w:pPr>
      <w:r>
        <w:t>Closing</w:t>
      </w:r>
    </w:p>
    <w:p>
      <w:pPr/>
      <w:r/>
      <w:r>
        <w:rPr>
          <w:highlight w:val="yellow"/>
        </w:rPr>
        <w:t>[Approvals; signatures; disclosures; conditions; consideration/cash evidence; conversions; issued shares; post-close cap table; filings/reporting; records owner]</w:t>
      </w:r>
      <w:r>
        <w:t>. Distinguish legal documents from checklist completion. Keep executed confidential records out of the public library.</w:t>
      </w:r>
    </w:p>
    <w:p>
      <w:pPr>
        <w:pStyle w:val="Heading1"/>
      </w:pPr>
      <w:r>
        <w:t>Sources</w:t>
      </w:r>
    </w:p>
    <w:p>
      <w:pPr>
        <w:pStyle w:val="ListBullet"/>
      </w:pPr>
      <w:r>
        <w:t>NVCA model legal documents (https://nvca.org/model-legal-documents/)</w:t>
      </w:r>
    </w:p>
    <w:p>
      <w:pPr>
        <w:pStyle w:val="ListBullet"/>
      </w:pPr>
      <w:r>
        <w:t>Cofounder financing data room (../../docs/data-room/)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Priced Round Preparation Guide</dc:title>
  <dc:subject>Coordinate current official financing models with existing founder protections.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