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Awake Personal Data Processing Schedule</w:t>
      </w:r>
    </w:p>
    <w:p>
      <w:r>
        <w:t>These documents are general templates, not legal advice. Before using any document for any real-world purpose, every party must have their own independent legal counsel review and approve it for their circumstances and applicable law. Do not sign, rely on, or otherwise use a document without that approval. No attorney-client relationship is created.</w:t>
      </w:r>
    </w:p>
    <w:p>
      <w:pPr>
        <w:pStyle w:val="Heading1"/>
      </w:pPr>
      <w:r>
        <w:t>Commercial Terms</w:t>
      </w:r>
    </w:p>
    <w:p>
      <w:pPr/>
      <w:r>
        <w:t xml:space="preserve">Parties/main DPA and service agreement: </w:t>
      </w:r>
      <w:r>
        <w:rPr>
          <w:highlight w:val="yellow"/>
        </w:rPr>
        <w:t>[names/versions]</w:t>
      </w:r>
      <w:r>
        <w:t xml:space="preserve">. Privacy contacts: </w:t>
      </w:r>
      <w:r>
        <w:rPr>
          <w:highlight w:val="yellow"/>
        </w:rPr>
        <w:t>[contacts]</w:t>
      </w:r>
      <w:r>
        <w:t>.</w:t>
      </w:r>
    </w:p>
    <w:p>
      <w:pPr>
        <w:pStyle w:val="Heading1"/>
      </w:pPr>
      <w:r>
        <w:t>Processing description</w:t>
      </w:r>
    </w:p>
    <w:p>
      <w:pPr/>
      <w:r/>
      <w:r>
        <w:rPr>
          <w:highlight w:val="yellow"/>
        </w:rPr>
        <w:t>[Purpose; operations; duration; categories of people and data; sensitive data; collection source; instructions; permitted uses; prohibited uses]</w:t>
      </w:r>
      <w:r>
        <w:t xml:space="preserve">. Roles by activity: </w:t>
      </w:r>
      <w:r>
        <w:rPr>
          <w:highlight w:val="yellow"/>
        </w:rPr>
        <w:t>[controller/processor/independent activity and reason]</w:t>
      </w:r>
      <w:r>
        <w:t xml:space="preserve">. Retention and return/deletion: </w:t>
      </w:r>
      <w:r>
        <w:rPr>
          <w:highlight w:val="yellow"/>
        </w:rPr>
        <w:t>[periods/methods]</w:t>
      </w:r>
      <w:r>
        <w:t>.</w:t>
      </w:r>
    </w:p>
    <w:p>
      <w:pPr>
        <w:pStyle w:val="Heading1"/>
      </w:pPr>
      <w:r>
        <w:t>Locations and providers</w:t>
      </w:r>
    </w:p>
    <w:p>
      <w:pPr/>
      <w:r/>
      <w:r>
        <w:rPr>
          <w:highlight w:val="yellow"/>
        </w:rPr>
        <w:t>[Hosting/support locations; subprocessors; duties; change notices; international transfer mechanism and separate instruments where required]</w:t>
      </w:r>
      <w:r>
        <w:t>. A generic DPA is not a transfer safeguard by itself.</w:t>
      </w:r>
    </w:p>
    <w:p>
      <w:pPr>
        <w:pStyle w:val="Heading1"/>
      </w:pPr>
      <w:r>
        <w:t>Security and requests</w:t>
      </w:r>
    </w:p>
    <w:p>
      <w:pPr/>
      <w:r/>
      <w:r>
        <w:rPr>
          <w:highlight w:val="yellow"/>
        </w:rPr>
        <w:t>[Security addendum/version; incident contacts and notification period; individual-rights request process; audit assistance]</w:t>
      </w:r>
      <w:r>
        <w:t>. Provide only descriptive categories in the public template, never actual personal data.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AWAKE | V0.1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after="140" w:line="26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6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6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Awake Personal Data Processing Schedule</dc:title>
  <dc:subject>Specify covered processing and transfer facts for a signed DPA.</dc:subject>
  <dc:creator>AwakeVC</dc:creator>
  <cp:keywords/>
  <dc:description/>
  <cp:lastModifiedBy>AwakeVC</cp:lastModifiedBy>
  <cp:revision>1</cp:revision>
  <dcterms:created xsi:type="dcterms:W3CDTF">2026-10-14T00:00:00Z</dcterms:created>
  <dcterms:modified xsi:type="dcterms:W3CDTF">2026-10-14T00:00:00Z</dcterms:modified>
  <cp:category/>
</cp:coreProperties>
</file>