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Personal Data Processing Schedule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Specify covered processing and transfer facts for a signed DPA.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Parties/main DPA and service agreement: </w:t>
      </w:r>
      <w:r>
        <w:rPr>
          <w:highlight w:val="yellow"/>
        </w:rPr>
        <w:t>[names/versions]</w:t>
      </w:r>
      <w:r>
        <w:t xml:space="preserve">. Privacy contacts: </w:t>
      </w:r>
      <w:r>
        <w:rPr>
          <w:highlight w:val="yellow"/>
        </w:rPr>
        <w:t>[contacts]</w:t>
      </w:r>
      <w:r>
        <w:t>.</w:t>
      </w:r>
    </w:p>
    <w:p>
      <w:pPr>
        <w:pStyle w:val="Heading1"/>
      </w:pPr>
      <w:r>
        <w:t>Processing description</w:t>
      </w:r>
    </w:p>
    <w:p>
      <w:pPr/>
      <w:r/>
      <w:r>
        <w:rPr>
          <w:highlight w:val="yellow"/>
        </w:rPr>
        <w:t>[Purpose; operations; duration; categories of people and data; sensitive data; collection source; instructions; permitted uses; prohibited uses]</w:t>
      </w:r>
      <w:r>
        <w:t xml:space="preserve">. Roles by activity: </w:t>
      </w:r>
      <w:r>
        <w:rPr>
          <w:highlight w:val="yellow"/>
        </w:rPr>
        <w:t>[controller/processor/independent activity and reason]</w:t>
      </w:r>
      <w:r>
        <w:t xml:space="preserve">. Retention and return/deletion: </w:t>
      </w:r>
      <w:r>
        <w:rPr>
          <w:highlight w:val="yellow"/>
        </w:rPr>
        <w:t>[periods/methods]</w:t>
      </w:r>
      <w:r>
        <w:t>.</w:t>
      </w:r>
    </w:p>
    <w:p>
      <w:pPr>
        <w:pStyle w:val="Heading1"/>
      </w:pPr>
      <w:r>
        <w:t>Locations and providers</w:t>
      </w:r>
    </w:p>
    <w:p>
      <w:pPr/>
      <w:r/>
      <w:r>
        <w:rPr>
          <w:highlight w:val="yellow"/>
        </w:rPr>
        <w:t>[Hosting/support locations; subprocessors; duties; change notices; international transfer mechanism and separate instruments where required]</w:t>
      </w:r>
      <w:r>
        <w:t>. A generic DPA is not a transfer safeguard by itself.</w:t>
      </w:r>
    </w:p>
    <w:p>
      <w:pPr>
        <w:pStyle w:val="Heading1"/>
      </w:pPr>
      <w:r>
        <w:t>Security and requests</w:t>
      </w:r>
    </w:p>
    <w:p>
      <w:pPr/>
      <w:r/>
      <w:r>
        <w:rPr>
          <w:highlight w:val="yellow"/>
        </w:rPr>
        <w:t>[Security addendum/version; incident contacts and notification period; individual-rights request process; audit assistance]</w:t>
      </w:r>
      <w:r>
        <w:t>. Provide only descriptive categories in the public template, never actual personal data.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Personal Data Processing Schedule</dc:title>
  <dc:subject>Specify covered processing and transfer facts for a signed DPA.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