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Referral Acceptance Register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Company/referrer/main agreement: </w:t>
      </w:r>
      <w:r>
        <w:rPr>
          <w:highlight w:val="yellow"/>
        </w:rPr>
        <w:t>[names/version]</w:t>
      </w:r>
      <w:r>
        <w:t xml:space="preserve">. Register custodian and restricted location: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Referral record</w:t>
      </w:r>
    </w:p>
    <w:p>
      <w:pPr/>
      <w:r>
        <w:t xml:space="preserve">Repeat for each lead: </w:t>
      </w:r>
      <w:r>
        <w:rPr>
          <w:highlight w:val="yellow"/>
        </w:rPr>
        <w:t>[ID; lawful contact-sharing evidence; introduced account; submission date; scope; existing relationship/overlap; acceptance or rejection and reason; accepted date; protection expiry; base/rate; multiple-introducer allocation]</w:t>
      </w:r>
      <w:r>
        <w:t>. Do not publish personal contact data.</w:t>
      </w:r>
    </w:p>
    <w:p>
      <w:pPr>
        <w:pStyle w:val="Heading1"/>
      </w:pPr>
      <w:r>
        <w:t>Contract and cash record</w:t>
      </w:r>
    </w:p>
    <w:p>
      <w:pPr/>
      <w:r/>
      <w:r>
        <w:rPr>
          <w:highlight w:val="yellow"/>
        </w:rPr>
        <w:t>[Covered contract/date; receipts; permitted deductions; refunds; earned commission; paid amount/date; remaining balance; tail expiry]</w:t>
      </w:r>
      <w:r>
        <w:t>. Separate signed commercial contracts from pipeline assumptions.</w:t>
      </w:r>
    </w:p>
    <w:p>
      <w:pPr>
        <w:pStyle w:val="Heading1"/>
      </w:pPr>
      <w:r>
        <w:t>Corrections</w:t>
      </w:r>
    </w:p>
    <w:p>
      <w:pPr/>
      <w:r>
        <w:t>A correction records who agreed, evidence and date. The register does not change the signed rate, protection period or legal scope. Disputed entries follow the main agreement’s process.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Referral Acceptance Register</dc:title>
  <dc:subject>Keep an agreed record of accepted leads and earned commission calculations.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