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Reseller and Channel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Authorize resale with explicit order, customer, support and margin responsibilities.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Supplier/reseller: </w:t>
      </w:r>
      <w:r>
        <w:rPr>
          <w:highlight w:val="yellow"/>
        </w:rPr>
        <w:t>[names/addresses]</w:t>
      </w:r>
      <w:r>
        <w:t xml:space="preserve">. Products, channel, territory and excluded accounts: </w:t>
      </w:r>
      <w:r>
        <w:rPr>
          <w:highlight w:val="yellow"/>
        </w:rPr>
        <w:t>[scope]</w:t>
      </w:r>
      <w:r>
        <w:t xml:space="preserve">. Model: </w:t>
      </w:r>
      <w:r>
        <w:rPr>
          <w:highlight w:val="yellow"/>
        </w:rPr>
        <w:t>[reseller contracts with customer / Supplier contracts and pays channel fee]</w:t>
      </w:r>
      <w:r>
        <w:t xml:space="preserve">. Exclusivity: </w:t>
      </w:r>
      <w:r>
        <w:rPr>
          <w:highlight w:val="yellow"/>
        </w:rPr>
        <w:t>[none or completed conditions]</w:t>
      </w:r>
      <w:r>
        <w:t xml:space="preserve">. Pricing/discounts, orders, currency and taxes: </w:t>
      </w:r>
      <w:r>
        <w:rPr>
          <w:highlight w:val="yellow"/>
        </w:rPr>
        <w:t>[terms]</w:t>
      </w:r>
      <w:r>
        <w:t xml:space="preserve">. Support, branding and data roles: </w:t>
      </w:r>
      <w:r>
        <w:rPr>
          <w:highlight w:val="yellow"/>
        </w:rPr>
        <w:t>[schedule]</w:t>
      </w:r>
      <w:r>
        <w:t xml:space="preserve">. Term/renewal and notice: </w:t>
      </w:r>
      <w:r>
        <w:rPr>
          <w:highlight w:val="yellow"/>
        </w:rPr>
        <w:t>[terms]</w:t>
      </w:r>
      <w:r>
        <w:t xml:space="preserve">. Liability/indemnities: </w:t>
      </w:r>
      <w:r>
        <w:rPr>
          <w:highlight w:val="yellow"/>
        </w:rPr>
        <w:t>[terms]</w:t>
      </w:r>
      <w:r>
        <w:t>.</w:t>
      </w:r>
    </w:p>
    <w:p>
      <w:pPr>
        <w:pStyle w:val="Heading1"/>
      </w:pPr>
      <w:r>
        <w:t>1. Appointment and authority</w:t>
      </w:r>
    </w:p>
    <w:p>
      <w:pPr/>
      <w:r>
        <w:t>Supplier appoints Reseller only within the completed scope. Reseller has no authority to bind Supplier, change license/service promises or appoint subchannels without approval. Identify who signs the customer contract, invoices, collects and bears credit risk; use separate referral terms if Reseller never buys or resells. Exclusivity applies only if expressly granted with performance and lawful scope.</w:t>
      </w:r>
    </w:p>
    <w:p>
      <w:pPr>
        <w:pStyle w:val="Heading1"/>
      </w:pPr>
      <w:r>
        <w:t>2. Orders and economics</w:t>
      </w:r>
    </w:p>
    <w:p>
      <w:pPr/>
      <w:r>
        <w:t>Orders become binding through the stated acceptance process. Record wholesale fees or channel commissions, permitted discounts, billing, returns and chargebacks. Each party bears its identified taxes and duties. Customer pricing discretion and any restrictions require competition-law review; no resale-price control is implied. Renewal attribution and existing accounts are expressly scheduled.</w:t>
      </w:r>
    </w:p>
    <w:p>
      <w:pPr>
        <w:pStyle w:val="Heading1"/>
      </w:pPr>
      <w:r>
        <w:t>3. Customer obligations and support</w:t>
      </w:r>
    </w:p>
    <w:p>
      <w:pPr/>
      <w:r>
        <w:t>Customer receives the actual applicable license/subscription terms before purchase. Allocate onboarding, support tiers, incident response, SLA credits and refunds. Reseller cannot promise unsupported uptime or source rights. Supplier remains responsible for obligations it undertakes. Preserve authorized customer continuity on channel departure.</w:t>
      </w:r>
    </w:p>
    <w:p>
      <w:pPr>
        <w:pStyle w:val="Heading1"/>
      </w:pPr>
      <w:r>
        <w:t>4. Brands and data</w:t>
      </w:r>
    </w:p>
    <w:p>
      <w:pPr/>
      <w:r>
        <w:t>Supplier grants a limited approved marketing license, revocable for misuse, without ownership transfer or endorsement of unrelated activity. Each party handles contact and customer data only for lawful agreed purposes; add a DPA if needed. Protect confidential pricing and technical material. Approval is required for public claims and sublicensing.</w:t>
      </w:r>
    </w:p>
    <w:p>
      <w:pPr>
        <w:pStyle w:val="Heading1"/>
      </w:pPr>
      <w:r>
        <w:t>5. Performance and ending</w:t>
      </w:r>
    </w:p>
    <w:p>
      <w:pPr/>
      <w:r>
        <w:t xml:space="preserve">Define reporting, objective targets, cure and consequences of missed targets. Termination notice, breach cure, outstanding orders, stock/licenses, customer renewal rights, earned margin/commissions and transition are </w:t>
      </w:r>
      <w:r>
        <w:rPr>
          <w:highlight w:val="yellow"/>
        </w:rPr>
        <w:t>[terms]</w:t>
      </w:r>
      <w:r>
        <w:t>. No unilateral confiscation of earned amounts or customer information occurs. Classify the real relationship for franchise, agency or distribution rules before launch.</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Reseller and Channel Agreement</dc:title>
  <dc:subject>Authorize resale with explicit order, customer, support and margin responsibilities.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