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Restricted Stock Purchase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Issue actual shares with an express vesting and unvested repurchase arrangement.</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 </w:t>
      </w:r>
      <w:r>
        <w:rPr>
          <w:highlight w:val="yellow"/>
        </w:rPr>
        <w:t>[name, Delaware corporation, address]</w:t>
      </w:r>
      <w:r>
        <w:t xml:space="preserve">. Purchaser: </w:t>
      </w:r>
      <w:r>
        <w:rPr>
          <w:highlight w:val="yellow"/>
        </w:rPr>
        <w:t>[name/address]</w:t>
      </w:r>
      <w:r>
        <w:t xml:space="preserve">. Approval date and approving body: </w:t>
      </w:r>
      <w:r>
        <w:rPr>
          <w:highlight w:val="yellow"/>
        </w:rPr>
        <w:t>[details]</w:t>
      </w:r>
      <w:r>
        <w:t xml:space="preserve">. Class, quantity, price per share and total consideration: </w:t>
      </w:r>
      <w:r>
        <w:rPr>
          <w:highlight w:val="yellow"/>
        </w:rPr>
        <w:t>[terms]</w:t>
      </w:r>
      <w:r>
        <w:t xml:space="preserve">. Actual issue/transfer date: </w:t>
      </w:r>
      <w:r>
        <w:rPr>
          <w:highlight w:val="yellow"/>
        </w:rPr>
        <w:t>[date]</w:t>
      </w:r>
      <w:r>
        <w:t xml:space="preserve">. Vesting start, cliff, installments and rounding: </w:t>
      </w:r>
      <w:r>
        <w:rPr>
          <w:highlight w:val="yellow"/>
        </w:rPr>
        <w:t>[formula]</w:t>
      </w:r>
      <w:r>
        <w:t xml:space="preserve">. Acceleration: </w:t>
      </w:r>
      <w:r>
        <w:rPr>
          <w:highlight w:val="yellow"/>
        </w:rPr>
        <w:t>[none or precise triggers/formula]</w:t>
      </w:r>
      <w:r>
        <w:t xml:space="preserve">. Unvested repurchase window and price: </w:t>
      </w:r>
      <w:r>
        <w:rPr>
          <w:highlight w:val="yellow"/>
        </w:rPr>
        <w:t>[terms]</w:t>
      </w:r>
      <w:r>
        <w:t xml:space="preserve">. Governing transfer documents: </w:t>
      </w:r>
      <w:r>
        <w:rPr>
          <w:highlight w:val="yellow"/>
        </w:rPr>
        <w:t>[versions]</w:t>
      </w:r>
      <w:r>
        <w:t>.</w:t>
      </w:r>
    </w:p>
    <w:p>
      <w:pPr>
        <w:pStyle w:val="Heading1"/>
      </w:pPr>
      <w:r>
        <w:t>1. Purchase and closing</w:t>
      </w:r>
    </w:p>
    <w:p>
      <w:pPr/>
      <w:r>
        <w:t>Subject to required approvals, authorized shares, lawful consideration and applicable securities requirements, Company sells and Purchaser buys the stated shares on the actual closing date. Record receipt of consideration and the stock ledger entry. No pool reservation or unsigned promise is a completed issuance. Purchaser represents authority and receives the relevant corporate and transfer documents before signing.</w:t>
      </w:r>
    </w:p>
    <w:p>
      <w:pPr>
        <w:pStyle w:val="Heading1"/>
      </w:pPr>
      <w:r>
        <w:t>2. Vesting and repurchase</w:t>
      </w:r>
    </w:p>
    <w:p>
      <w:pPr/>
      <w:r>
        <w:t xml:space="preserve">Only the completed schedule determines vesting. If service ends, Company may repurchase only the unvested shares within the stated period at the expressly agreed price using the notice and payment process </w:t>
      </w:r>
      <w:r>
        <w:rPr>
          <w:highlight w:val="yellow"/>
        </w:rPr>
        <w:t>[details]</w:t>
      </w:r>
      <w:r>
        <w:t>. State treatment of death, disability, leave and service changes. Vested shares are not subject to a new forfeiture or nominal-price buyout under this agreement. Any acceleration is limited to its signed trigger and amount.</w:t>
      </w:r>
    </w:p>
    <w:p>
      <w:pPr>
        <w:pStyle w:val="Heading1"/>
      </w:pPr>
      <w:r>
        <w:t>3. Shareholder and transfer rights</w:t>
      </w:r>
    </w:p>
    <w:p>
      <w:pPr/>
      <w:r>
        <w:t>Identify voting, dividends, escrow/custody, legends, permitted transfers and any ROFR/co-sale or drag by signed instrument and version. Restrictions bind only as lawfully implemented. Incoming holders execute required joinders. Do not impose inconsistent transfer obligations through an unlisted attachment.</w:t>
      </w:r>
    </w:p>
    <w:p>
      <w:pPr>
        <w:pStyle w:val="Heading1"/>
      </w:pPr>
      <w:r>
        <w:t>4. Tax and records</w:t>
      </w:r>
    </w:p>
    <w:p>
      <w:pPr/>
      <w:r>
        <w:t>Purchaser obtains individual tax advice promptly after an actual property transfer, including whether an 83(b) election is available and appropriate. Company supplies factual transfer and valuation information it is required to provide, but does not file Purchaser's personal election. Maintain evidence of consideration, issue date, valuation, vesting and any timely election in restricted records. No tax treatment or QSBS eligibility is warranted.</w:t>
      </w:r>
    </w:p>
    <w:p>
      <w:pPr>
        <w:pStyle w:val="Heading1"/>
      </w:pPr>
      <w:r>
        <w:t>5. Document coordination</w:t>
      </w:r>
    </w:p>
    <w:p>
      <w:pPr/>
      <w:r>
        <w:t>State all deviations from an applicable plan or founder agreement and obtain affected-party consent. This purchase does not change service compensation, promised founder protection or existing equity economics except by express signed amendment.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Restricted Stock Purchase Agreement</dc:title>
  <dc:subject>Issue actual shares with an express vesting and unvested repurchase arrangement.</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