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SAFE Preparation and Closing Guide</w:t>
      </w:r>
    </w:p>
    <w:p>
      <w:r>
        <w:t>Version 0.1 | 2026-10-14</w:t>
        <w:br/>
        <w:b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r>
        <w:t>Select official SAFE forms and prepare the actual financing approvals and records.</w:t>
      </w:r>
    </w:p>
    <w:p>
      <w:r>
        <w:t>Reference edition. Complete all fields, choose every alternative, reconcile companions and remove drafting instructions before execution. The separate fill-in edition omits this publication introduction.</w:t>
      </w:r>
    </w:p>
    <w:p>
      <w:pPr>
        <w:pStyle w:val="Heading1"/>
      </w:pPr>
      <w:r>
        <w:t>Commercial Terms</w:t>
      </w:r>
    </w:p>
    <w:p>
      <w:pPr/>
      <w:r>
        <w:t xml:space="preserve">Company, financing owner and counsel: </w:t>
      </w:r>
      <w:r>
        <w:rPr>
          <w:highlight w:val="yellow"/>
        </w:rPr>
        <w:t>[names]</w:t>
      </w:r>
      <w:r>
        <w:t xml:space="preserve">. Raise target and dated capitalization: </w:t>
      </w:r>
      <w:r>
        <w:rPr>
          <w:highlight w:val="yellow"/>
        </w:rPr>
        <w:t>[records]</w:t>
      </w:r>
      <w:r>
        <w:t>.</w:t>
      </w:r>
    </w:p>
    <w:p>
      <w:pPr>
        <w:pStyle w:val="Heading1"/>
      </w:pPr>
      <w:r>
        <w:t>Official documents</w:t>
      </w:r>
    </w:p>
    <w:p>
      <w:pPr/>
      <w:r>
        <w:t>Use current official YC US SAFE variants and any appropriate official pro rata side letter. Keep publisher terms and licenses separate from this Awake guide. Do not relabel or rewrite the official instrument as an Awake form. Record the actual selected version, signed terms and any separately negotiated changes.</w:t>
      </w:r>
    </w:p>
    <w:p>
      <w:pPr>
        <w:pStyle w:val="Heading1"/>
      </w:pPr>
      <w:r>
        <w:t>Preparation and approval</w:t>
      </w:r>
    </w:p>
    <w:p>
      <w:pPr/>
      <w:r/>
      <w:r>
        <w:rPr>
          <w:highlight w:val="yellow"/>
        </w:rPr>
        <w:t>[Instrument/variant; investment amount; cap/discount/MFN as applicable; investor identity; governing entity; required approvals; side letters; securities review; signatures; funding instructions verified independently]</w:t>
      </w:r>
      <w:r>
        <w:t>. Describe dilution and conversion using an actual dated capitalization analysis, not a guaranteed ownership percentage.</w:t>
      </w:r>
    </w:p>
    <w:p>
      <w:pPr>
        <w:pStyle w:val="Heading1"/>
      </w:pPr>
      <w:r>
        <w:t>Closing and records</w:t>
      </w:r>
    </w:p>
    <w:p>
      <w:pPr/>
      <w:r>
        <w:t>Reconcile signed amount, actual cash received, date, side letters, approval and outstanding financing register. Store executed documents privately in the current-financing folder and cross-link the capitalization record. Do not treat an unsigned pipeline commitment as closed funding.</w:t>
      </w:r>
    </w:p>
    <w:p>
      <w:pPr>
        <w:pStyle w:val="Heading1"/>
      </w:pPr>
      <w:r>
        <w:t>Sources</w:t>
      </w:r>
    </w:p>
    <w:p>
      <w:pPr>
        <w:pStyle w:val="ListBullet"/>
      </w:pPr>
      <w:r>
        <w:t>YC official SAFE forms and guide (https://www.ycombinator.com/safe)</w:t>
      </w:r>
    </w:p>
    <w:p>
      <w:pPr>
        <w:pStyle w:val="ListBullet"/>
      </w:pPr>
      <w:r>
        <w:t>Cofounder financing data room (../../docs/data-room/)</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SAFE Preparation and Closing Guide</dc:title>
  <dc:subject>Select official SAFE forms and prepare the actual financing approvals and records.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