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Security Addendum</w:t>
      </w:r>
    </w:p>
    <w:p>
      <w: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pPr>
        <w:pStyle w:val="Heading1"/>
      </w:pPr>
      <w:r>
        <w:t>Commercial Terms</w:t>
      </w:r>
    </w:p>
    <w:p>
      <w:pPr/>
      <w:r>
        <w:t xml:space="preserve">Parties and main agreement: </w:t>
      </w:r>
      <w:r>
        <w:rPr>
          <w:highlight w:val="yellow"/>
        </w:rPr>
        <w:t>[names/version]</w:t>
      </w:r>
      <w:r>
        <w:t xml:space="preserve">. Covered systems/data: </w:t>
      </w:r>
      <w:r>
        <w:rPr>
          <w:highlight w:val="yellow"/>
        </w:rPr>
        <w:t>[scope]</w:t>
      </w:r>
      <w:r>
        <w:t xml:space="preserve">. Security and incident contacts: </w:t>
      </w:r>
      <w:r>
        <w:rPr>
          <w:highlight w:val="yellow"/>
        </w:rPr>
        <w:t>[contacts]</w:t>
      </w:r>
      <w:r>
        <w:t xml:space="preserve">. Control evidence/date: </w:t>
      </w:r>
      <w:r>
        <w:rPr>
          <w:highlight w:val="yellow"/>
        </w:rPr>
        <w:t>[register]</w:t>
      </w:r>
      <w:r>
        <w:t xml:space="preserve">. Notification period: </w:t>
      </w:r>
      <w:r>
        <w:rPr>
          <w:highlight w:val="yellow"/>
        </w:rPr>
        <w:t>[hours after awareness]</w:t>
      </w:r>
      <w:r>
        <w:t xml:space="preserve">. Review cadence and change process: </w:t>
      </w:r>
      <w:r>
        <w:rPr>
          <w:highlight w:val="yellow"/>
        </w:rPr>
        <w:t>[terms]</w:t>
      </w:r>
      <w:r>
        <w:t xml:space="preserve">. Responsibility allocation: </w:t>
      </w:r>
      <w:r>
        <w:rPr>
          <w:highlight w:val="yellow"/>
        </w:rPr>
        <w:t>[schedule]</w:t>
      </w:r>
      <w:r>
        <w:t>.</w:t>
      </w:r>
    </w:p>
    <w:p>
      <w:pPr>
        <w:pStyle w:val="Heading1"/>
      </w:pPr>
      <w:r>
        <w:t>1. Controls</w:t>
      </w:r>
    </w:p>
    <w:p>
      <w:pPr/>
      <w:r>
        <w:t>Complete controls for least-privilege access, multifactor authentication, access review, encryption in transit/at rest, secure development, dependency tracking, logging, vulnerability remediation and personnel training. Describe actual practices and exceptions; do not assert a certification not held. Company-approved AI tools and data-handling rules apply to covered information.</w:t>
      </w:r>
    </w:p>
    <w:p>
      <w:pPr>
        <w:pStyle w:val="Heading1"/>
      </w:pPr>
      <w:r>
        <w:t>2. Operations and resilience</w:t>
      </w:r>
    </w:p>
    <w:p>
      <w:pPr/>
      <w:r>
        <w:t>Document patch priorities and response targets, backup frequency, restoration testing, recovery objectives and responsibility for cloud dependencies. Identify customer configuration duties. Security obligations do not create an unstated availability warranty; reference a separate SLA where applicable.</w:t>
      </w:r>
    </w:p>
    <w:p>
      <w:pPr>
        <w:pStyle w:val="Heading1"/>
      </w:pPr>
      <w:r>
        <w:t>3. Incidents</w:t>
      </w:r>
    </w:p>
    <w:p>
      <w:pPr/>
      <w:r>
        <w:t xml:space="preserve">Notify the other party through agreed contacts within the completed period after awareness of a covered incident. Supply available scope, affected information, mitigation and updates, preserve relevant evidence and coordinate lawful notification. Do not publish credentials or sensitive exploit details. Cost and third-party investigation allocation: </w:t>
      </w:r>
      <w:r>
        <w:rPr>
          <w:highlight w:val="yellow"/>
        </w:rPr>
        <w:t>[terms]</w:t>
      </w:r>
      <w:r>
        <w:t>.</w:t>
      </w:r>
    </w:p>
    <w:p>
      <w:pPr>
        <w:pStyle w:val="Heading1"/>
      </w:pPr>
      <w:r>
        <w:t>4. Verification and changes</w:t>
      </w:r>
    </w:p>
    <w:p>
      <w:pPr/>
      <w:r>
        <w:t xml:space="preserve">Provide agreed reports or confidential evidence with reasonable limits protecting other customers. Audits use scope, notice and remediation terms </w:t>
      </w:r>
      <w:r>
        <w:rPr>
          <w:highlight w:val="yellow"/>
        </w:rPr>
        <w:t>[details]</w:t>
      </w:r>
      <w:r>
        <w:t>. Material reduction in contracted controls requires the agreed notice/approval process. On termination remove access and delete/return data under the DPA and main agreement.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Security Addendum</dc:title>
  <dc:subject>Make operational security promises specific, measurable and proportionate.</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