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Professional Services Master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Sell repeatable implementation or development services using separate statements of work.</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Provider/customer: </w:t>
      </w:r>
      <w:r>
        <w:rPr>
          <w:highlight w:val="yellow"/>
        </w:rPr>
        <w:t>[names/addresses]</w:t>
      </w:r>
      <w:r>
        <w:t xml:space="preserve">. Effective date and master term: </w:t>
      </w:r>
      <w:r>
        <w:rPr>
          <w:highlight w:val="yellow"/>
        </w:rPr>
        <w:t>[terms]</w:t>
      </w:r>
      <w:r>
        <w:t xml:space="preserve">. Ordering/signing authority: </w:t>
      </w:r>
      <w:r>
        <w:rPr>
          <w:highlight w:val="yellow"/>
        </w:rPr>
        <w:t>[contacts]</w:t>
      </w:r>
      <w:r>
        <w:t xml:space="preserve">. Invoicing/payment and expenses: </w:t>
      </w:r>
      <w:r>
        <w:rPr>
          <w:highlight w:val="yellow"/>
        </w:rPr>
        <w:t>[terms]</w:t>
      </w:r>
      <w:r>
        <w:t xml:space="preserve">. Confidentiality period: </w:t>
      </w:r>
      <w:r>
        <w:rPr>
          <w:highlight w:val="yellow"/>
        </w:rPr>
        <w:t>[years]</w:t>
      </w:r>
      <w:r>
        <w:t xml:space="preserve">. Liability cap, exclusions, indemnity and insurance: </w:t>
      </w:r>
      <w:r>
        <w:rPr>
          <w:highlight w:val="yellow"/>
        </w:rPr>
        <w:t>[negotiated terms]</w:t>
      </w:r>
      <w:r>
        <w:t xml:space="preserve">. Notice contacts: </w:t>
      </w:r>
      <w:r>
        <w:rPr>
          <w:highlight w:val="yellow"/>
        </w:rPr>
        <w:t>[contacts]</w:t>
      </w:r>
      <w:r>
        <w:t>.</w:t>
      </w:r>
    </w:p>
    <w:p>
      <w:pPr>
        <w:pStyle w:val="Heading1"/>
      </w:pPr>
      <w:r>
        <w:t>1. Orders and performance</w:t>
      </w:r>
    </w:p>
    <w:p>
      <w:pPr/>
      <w:r>
        <w:t>Only signed SOWs authorize work. Each specifies outputs, acceptance, milestones, customer dependencies, resources, rates and completion. No exclusivity or minimum purchase applies unless stated. Changes require signed change orders; delays caused by a dependency follow the SOW's notice and adjustment process, not an automatic unlimited fee.</w:t>
      </w:r>
    </w:p>
    <w:p>
      <w:pPr>
        <w:pStyle w:val="Heading1"/>
      </w:pPr>
      <w:r>
        <w:t>2. Fees and acceptance</w:t>
      </w:r>
    </w:p>
    <w:p>
      <w:pPr/>
      <w:r>
        <w:t>Provider invoices according to the SOW with supporting records. Customer pays undisputed amounts on time and explains disputes. Review, rejection and correction follow objective acceptance criteria; describe any deemed acceptance explicitly. Expenses require prior approval. State treatment of prepaid unused amounts and cancellation costs.</w:t>
      </w:r>
    </w:p>
    <w:p>
      <w:pPr>
        <w:pStyle w:val="Heading1"/>
      </w:pPr>
      <w:r>
        <w:t>3. Deliverables and rights</w:t>
      </w:r>
    </w:p>
    <w:p>
      <w:pPr/>
      <w:r>
        <w:t xml:space="preserve">Ownership or license of project deliverables is </w:t>
      </w:r>
      <w:r>
        <w:rPr>
          <w:highlight w:val="yellow"/>
        </w:rPr>
        <w:t>[selected in each SOW]</w:t>
      </w:r>
      <w:r>
        <w:t xml:space="preserve">, with timing tied to </w:t>
      </w:r>
      <w:r>
        <w:rPr>
          <w:highlight w:val="yellow"/>
        </w:rPr>
        <w:t>[creation/payment/closing as agreed]</w:t>
      </w:r>
      <w:r>
        <w:t>. Provider retains identified background materials and grants the SOW's sufficient embedded-use license. Disclose third-party, open-source, model and data restrictions. Neither party transfers rights it lacks. Reconcile bespoke IP terms with customer platform/data rights.</w:t>
      </w:r>
    </w:p>
    <w:p>
      <w:pPr>
        <w:pStyle w:val="Heading1"/>
      </w:pPr>
      <w:r>
        <w:t>4. Confidentiality and security</w:t>
      </w:r>
    </w:p>
    <w:p>
      <w:pPr/>
      <w:r>
        <w:t>Use nonpublic information solely for performance, limit authorized recipients and preserve standard lawful exclusions and protected disclosures. Trade secrets remain protected while qualifying. Security, personal-data processing and approved AI tools require completed schedules where applicable. Report incidents promptly through agreed contacts. Provider secures equivalent personnel obligations.</w:t>
      </w:r>
    </w:p>
    <w:p>
      <w:pPr>
        <w:pStyle w:val="Heading1"/>
      </w:pPr>
      <w:r>
        <w:t>5. Warranty and remedies</w:t>
      </w:r>
    </w:p>
    <w:p>
      <w:pPr/>
      <w:r>
        <w:t xml:space="preserve">Provider warrants conformity to the SOW and qualified performance; correction and other remedies are </w:t>
      </w:r>
      <w:r>
        <w:rPr>
          <w:highlight w:val="yellow"/>
        </w:rPr>
        <w:t>[terms]</w:t>
      </w:r>
      <w:r>
        <w:t>. No general revenue or financing outcome is promised. Apply only completed liability and indemnity provisions, including defense notice and control. Mandatory nonexcludable liability remains.</w:t>
      </w:r>
    </w:p>
    <w:p>
      <w:pPr>
        <w:pStyle w:val="Heading1"/>
      </w:pPr>
      <w:r>
        <w:t>6. End of work</w:t>
      </w:r>
    </w:p>
    <w:p>
      <w:pPr/>
      <w:r>
        <w:t>Master termination does not automatically cancel active SOWs unless expressly agreed. State cure periods, convenience termination, earned charges, work handover, transition and data deletion in each SOW. Surviving IP, confidentiality and accrued obligations remain; later work needs a new signed order.</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Professional Services Master Agreement</dc:title>
  <dc:subject>Sell repeatable implementation or development services using separate statements of work.</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