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Service Level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Parties/main agreement: </w:t>
      </w:r>
      <w:r>
        <w:rPr>
          <w:highlight w:val="yellow"/>
        </w:rPr>
        <w:t>[names/version]</w:t>
      </w:r>
      <w:r>
        <w:t xml:space="preserve">. Service scope and measurement period: </w:t>
      </w:r>
      <w:r>
        <w:rPr>
          <w:highlight w:val="yellow"/>
        </w:rPr>
        <w:t>[details]</w:t>
      </w:r>
      <w:r>
        <w:t xml:space="preserve">. Support contacts/time zone/hours: </w:t>
      </w:r>
      <w:r>
        <w:rPr>
          <w:highlight w:val="yellow"/>
        </w:rPr>
        <w:t>[details]</w:t>
      </w:r>
      <w:r>
        <w:t>.</w:t>
      </w:r>
    </w:p>
    <w:p>
      <w:pPr>
        <w:pStyle w:val="Heading1"/>
      </w:pPr>
      <w:r>
        <w:t>Measurement</w:t>
      </w:r>
    </w:p>
    <w:p>
      <w:pPr/>
      <w:r>
        <w:t xml:space="preserve">Availability target: </w:t>
      </w:r>
      <w:r>
        <w:rPr>
          <w:highlight w:val="yellow"/>
        </w:rPr>
        <w:t>[percent]</w:t>
      </w:r>
      <w:r>
        <w:t xml:space="preserve">. Formula, monitoring source and covered endpoints: </w:t>
      </w:r>
      <w:r>
        <w:rPr>
          <w:highlight w:val="yellow"/>
        </w:rPr>
        <w:t>[details]</w:t>
      </w:r>
      <w:r>
        <w:t xml:space="preserve">. Planned maintenance windows, notice and maximum excluded duration: </w:t>
      </w:r>
      <w:r>
        <w:rPr>
          <w:highlight w:val="yellow"/>
        </w:rPr>
        <w:t>[terms]</w:t>
      </w:r>
      <w:r>
        <w:t xml:space="preserve">. Other exclusions: </w:t>
      </w:r>
      <w:r>
        <w:rPr>
          <w:highlight w:val="yellow"/>
        </w:rPr>
        <w:t>[specific causes]</w:t>
      </w:r>
      <w:r>
        <w:t>. An exclusion does not erase separate data/security duties.</w:t>
      </w:r>
    </w:p>
    <w:p>
      <w:pPr>
        <w:pStyle w:val="Heading1"/>
      </w:pPr>
      <w:r>
        <w:t>Support</w:t>
      </w:r>
    </w:p>
    <w:p>
      <w:pPr/>
      <w:r>
        <w:t xml:space="preserve">Repeat for each severity: </w:t>
      </w:r>
      <w:r>
        <w:rPr>
          <w:highlight w:val="yellow"/>
        </w:rPr>
        <w:t>[objective definition; initial response target; update cadence; restoration/workaround target; escalation contact]</w:t>
      </w:r>
      <w:r>
        <w:t xml:space="preserve">. Distinguish response, workaround and final resolution. Customer reporting and cooperation: </w:t>
      </w:r>
      <w:r>
        <w:rPr>
          <w:highlight w:val="yellow"/>
        </w:rPr>
        <w:t>[process]</w:t>
      </w:r>
      <w:r>
        <w:t>.</w:t>
      </w:r>
    </w:p>
    <w:p>
      <w:pPr>
        <w:pStyle w:val="Heading1"/>
      </w:pPr>
      <w:r>
        <w:t>Remedies</w:t>
      </w:r>
    </w:p>
    <w:p>
      <w:pPr/>
      <w:r>
        <w:t xml:space="preserve">Credits: </w:t>
      </w:r>
      <w:r>
        <w:rPr>
          <w:highlight w:val="yellow"/>
        </w:rPr>
        <w:t>[formula, cap, request window and evidence]</w:t>
      </w:r>
      <w:r>
        <w:t xml:space="preserve">. Chronic-failure termination and refund: </w:t>
      </w:r>
      <w:r>
        <w:rPr>
          <w:highlight w:val="yellow"/>
        </w:rPr>
        <w:t>[triggers/terms]</w:t>
      </w:r>
      <w:r>
        <w:t xml:space="preserve">. State whether credits are exclusive for availability only; do not silently waive other claims. Service changes and renewal treatment: </w:t>
      </w:r>
      <w:r>
        <w:rPr>
          <w:highlight w:val="yellow"/>
        </w:rPr>
        <w:t>[terms]</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Service Level Agreement</dc:title>
  <dc:subject>Measure availability and support with explicit exclusions and remedies.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