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Software and Self Hosting License</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Specify source-review or self-hosting rights separately from hosted SaaS access.</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Licensor/licensee: </w:t>
      </w:r>
      <w:r>
        <w:rPr>
          <w:highlight w:val="yellow"/>
        </w:rPr>
        <w:t>[names/addresses]</w:t>
      </w:r>
      <w:r>
        <w:t xml:space="preserve">. Software/version/dependencies: </w:t>
      </w:r>
      <w:r>
        <w:rPr>
          <w:highlight w:val="yellow"/>
        </w:rPr>
        <w:t>[schedule]</w:t>
      </w:r>
      <w:r>
        <w:t xml:space="preserve">. Mode: </w:t>
      </w:r>
      <w:r>
        <w:rPr>
          <w:highlight w:val="yellow"/>
        </w:rPr>
        <w:t>[read-only source review / self-hosting]</w:t>
      </w:r>
      <w:r>
        <w:t xml:space="preserve">. Permitted instances, territory and users: </w:t>
      </w:r>
      <w:r>
        <w:rPr>
          <w:highlight w:val="yellow"/>
        </w:rPr>
        <w:t>[limits]</w:t>
      </w:r>
      <w:r>
        <w:t xml:space="preserve">. Modification, redistribution and sublicensing rights: </w:t>
      </w:r>
      <w:r>
        <w:rPr>
          <w:highlight w:val="yellow"/>
        </w:rPr>
        <w:t>[precise scope]</w:t>
      </w:r>
      <w:r>
        <w:t xml:space="preserve">. Fees and term: </w:t>
      </w:r>
      <w:r>
        <w:rPr>
          <w:highlight w:val="yellow"/>
        </w:rPr>
        <w:t>[terms]</w:t>
      </w:r>
      <w:r>
        <w:t xml:space="preserve">. Updates/support: </w:t>
      </w:r>
      <w:r>
        <w:rPr>
          <w:highlight w:val="yellow"/>
        </w:rPr>
        <w:t>[schedule or none]</w:t>
      </w:r>
      <w:r>
        <w:t xml:space="preserve">. Notice contacts: </w:t>
      </w:r>
      <w:r>
        <w:rPr>
          <w:highlight w:val="yellow"/>
        </w:rPr>
        <w:t>[contacts]</w:t>
      </w:r>
      <w:r>
        <w:t>.</w:t>
      </w:r>
    </w:p>
    <w:p>
      <w:pPr>
        <w:pStyle w:val="Heading1"/>
      </w:pPr>
      <w:r>
        <w:t>1. License mode</w:t>
      </w:r>
    </w:p>
    <w:p>
      <w:pPr/>
      <w:r>
        <w:t>Source-review mode permits only identified authorized reviewers to inspect the delivered source securely for the stated purpose; it grants no deployment or modification right. Self-hosting mode grants the express rights to deploy and, only if selected, modify in the listed environments. No sublicensing, resale or public disclosure right is implied. Retain a dependency/license inventory and identify components subject to separate licenses.</w:t>
      </w:r>
    </w:p>
    <w:p>
      <w:pPr>
        <w:pStyle w:val="Heading1"/>
      </w:pPr>
      <w:r>
        <w:t>2. Ownership and modifications</w:t>
      </w:r>
    </w:p>
    <w:p>
      <w:pPr/>
      <w:r>
        <w:t xml:space="preserve">Licensor retains the original software. Licensee modifications, contributions back and feedback rights are </w:t>
      </w:r>
      <w:r>
        <w:rPr>
          <w:highlight w:val="yellow"/>
        </w:rPr>
        <w:t>[negotiated terms]</w:t>
      </w:r>
      <w:r>
        <w:t>; there is no automatic assignment of all modifications. Identify contributor rights and permitted reuse. AI tools accessing source require specific authorization and adequate confidentiality protections.</w:t>
      </w:r>
    </w:p>
    <w:p>
      <w:pPr>
        <w:pStyle w:val="Heading1"/>
      </w:pPr>
      <w:r>
        <w:t>3. Deployment and support</w:t>
      </w:r>
    </w:p>
    <w:p>
      <w:pPr/>
      <w:r>
        <w:t>Licensee controls its hosting, access, backup and security obligations. Licensor supplies only stated builds, documentation, updates and support. Availability of Licensee infrastructure is not a hosted SaaS SLA. Record compatibility and deployment prerequisites. Personal-data responsibilities follow the actual roles, not the license label.</w:t>
      </w:r>
    </w:p>
    <w:p>
      <w:pPr>
        <w:pStyle w:val="Heading1"/>
      </w:pPr>
      <w:r>
        <w:t>4. Fees and risk</w:t>
      </w:r>
    </w:p>
    <w:p>
      <w:pPr/>
      <w:r>
        <w:t xml:space="preserve">Payment, warranty conformity, infringement remedies, indemnities and liability allocation are </w:t>
      </w:r>
      <w:r>
        <w:rPr>
          <w:highlight w:val="yellow"/>
        </w:rPr>
        <w:t>[terms]</w:t>
      </w:r>
      <w:r>
        <w:t>. Any audit is limited to reasonable license-compliance verification with confidentiality and customer-data protection. No open-ended access to production systems is granted.</w:t>
      </w:r>
    </w:p>
    <w:p>
      <w:pPr>
        <w:pStyle w:val="Heading1"/>
      </w:pPr>
      <w:r>
        <w:t>5. End and continuity</w:t>
      </w:r>
    </w:p>
    <w:p>
      <w:pPr/>
      <w:r>
        <w:t>State whether rights are subscription-limited or paid-up/perpetual, termination triggers, cure, customer sublicense continuity and any wind-down period. End-of-license deletion excludes lawful archives and rights expressly surviving. Escrow release rights, if any, require a separate signed three-party arrangement.</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Software and Self Hosting License</dc:title>
  <dc:subject>Specify source-review or self-hosting rights separately from hosted SaaS access.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