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Statement of Work</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Main agreement and parties: </w:t>
      </w:r>
      <w:r>
        <w:rPr>
          <w:highlight w:val="yellow"/>
        </w:rPr>
        <w:t>[names/title/date/version]</w:t>
      </w:r>
      <w:r>
        <w:t xml:space="preserve">. SOW number/effective date: </w:t>
      </w:r>
      <w:r>
        <w:rPr>
          <w:highlight w:val="yellow"/>
        </w:rPr>
        <w:t>[details]</w:t>
      </w:r>
      <w:r>
        <w:t xml:space="preserve">. Authorized project contacts: </w:t>
      </w:r>
      <w:r>
        <w:rPr>
          <w:highlight w:val="yellow"/>
        </w:rPr>
        <w:t>[contacts]</w:t>
      </w:r>
      <w:r>
        <w:t>.</w:t>
      </w:r>
    </w:p>
    <w:p>
      <w:pPr>
        <w:pStyle w:val="Heading1"/>
      </w:pPr>
      <w:r>
        <w:t>Work and dependencies</w:t>
      </w:r>
    </w:p>
    <w:p>
      <w:pPr/>
      <w:r/>
      <w:r>
        <w:rPr>
          <w:highlight w:val="yellow"/>
        </w:rPr>
        <w:t>[Deliverable; accountable owner; due date; acceptance test; review period; correction process]</w:t>
      </w:r>
      <w:r>
        <w:t xml:space="preserve">. Customer inputs/resources: </w:t>
      </w:r>
      <w:r>
        <w:rPr>
          <w:highlight w:val="yellow"/>
        </w:rPr>
        <w:t>[items, owners and due dates]</w:t>
      </w:r>
      <w:r>
        <w:t xml:space="preserve">. Provider resources: </w:t>
      </w:r>
      <w:r>
        <w:rPr>
          <w:highlight w:val="yellow"/>
        </w:rPr>
        <w:t>[items]</w:t>
      </w:r>
      <w:r>
        <w:t xml:space="preserve">. Delay notice and schedule/cost adjustment: </w:t>
      </w:r>
      <w:r>
        <w:rPr>
          <w:highlight w:val="yellow"/>
        </w:rPr>
        <w:t>[process]</w:t>
      </w:r>
      <w:r>
        <w:t xml:space="preserve">. Silence or partial use is acceptance only if expressly agreed </w:t>
      </w:r>
      <w:r>
        <w:rPr>
          <w:highlight w:val="yellow"/>
        </w:rPr>
        <w:t>[rule or none]</w:t>
      </w:r>
      <w:r>
        <w:t>.</w:t>
      </w:r>
    </w:p>
    <w:p>
      <w:pPr>
        <w:pStyle w:val="Heading1"/>
      </w:pPr>
      <w:r>
        <w:t>Economics and rights</w:t>
      </w:r>
    </w:p>
    <w:p>
      <w:pPr/>
      <w:r/>
      <w:r>
        <w:rPr>
          <w:highlight w:val="yellow"/>
        </w:rPr>
        <w:t>[Fixed fee/time rates; cap; currency; milestones; invoice/payment; expenses; prepaid refund/cancellation treatment]</w:t>
      </w:r>
      <w:r>
        <w:t xml:space="preserve">. Work-product assignment/license and timing: </w:t>
      </w:r>
      <w:r>
        <w:rPr>
          <w:highlight w:val="yellow"/>
        </w:rPr>
        <w:t>[selection]</w:t>
      </w:r>
      <w:r>
        <w:t xml:space="preserve">. Background and third-party materials: </w:t>
      </w:r>
      <w:r>
        <w:rPr>
          <w:highlight w:val="yellow"/>
        </w:rPr>
        <w:t>[IP schedule]</w:t>
      </w:r>
      <w:r>
        <w:t xml:space="preserve">. Data/security attachments: </w:t>
      </w:r>
      <w:r>
        <w:rPr>
          <w:highlight w:val="yellow"/>
        </w:rPr>
        <w:t>[versions or none]</w:t>
      </w:r>
      <w:r>
        <w:t>.</w:t>
      </w:r>
    </w:p>
    <w:p>
      <w:pPr>
        <w:pStyle w:val="Heading1"/>
      </w:pPr>
      <w:r>
        <w:t>Changes and ending</w:t>
      </w:r>
    </w:p>
    <w:p>
      <w:pPr/>
      <w:r>
        <w:t xml:space="preserve">Changes require a signed Change Order. Termination, earned charges, work handover and transition: </w:t>
      </w:r>
      <w:r>
        <w:rPr>
          <w:highlight w:val="yellow"/>
        </w:rPr>
        <w:t>[terms]</w:t>
      </w:r>
      <w:r>
        <w:t>. Identify exact main-agreement overrides; otherwise it controls. No SOW silently changes unrelated founder or equity rights.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Statement of Work</dc:title>
  <dc:subject>Set project outputs, dependencies, acceptance and commercial terms.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