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/>
      </w:pPr>
      <w:r>
        <w:rPr>
          <w:b/>
          <w:sz w:val="30"/>
        </w:rPr>
        <w:t>MEMORANDUM OF UNDERSTANDING</w:t>
      </w:r>
    </w:p>
    <w:p>
      <w:r>
        <w:rPr>
          <w:b/>
          <w:sz w:val="19"/>
        </w:rPr>
        <w:t xml:space="preserve">Venture: </w:t>
      </w:r>
      <w:r>
        <w:rPr>
          <w:color w:val="5A3A00"/>
          <w:sz w:val="19"/>
          <w:highlight w:val="yellow"/>
        </w:rPr>
        <w:t>venture name</w:t>
      </w:r>
      <w:r>
        <w:rPr>
          <w:sz w:val="19"/>
        </w:rPr>
        <w:t xml:space="preserve"> (the “Venture”)</w:t>
      </w:r>
    </w:p>
    <w:p>
      <w:r>
        <w:rPr>
          <w:b/>
          <w:sz w:val="19"/>
        </w:rPr>
        <w:t xml:space="preserve">Partners: </w:t>
      </w:r>
      <w:r>
        <w:rPr>
          <w:color w:val="5A3A00"/>
          <w:sz w:val="19"/>
          <w:highlight w:val="yellow"/>
        </w:rPr>
        <w:t>partner 1 full legal name</w:t>
      </w:r>
      <w:r>
        <w:rPr>
          <w:sz w:val="19"/>
        </w:rPr>
        <w:t xml:space="preserve">; </w:t>
      </w:r>
      <w:r>
        <w:rPr>
          <w:color w:val="5A3A00"/>
          <w:sz w:val="19"/>
          <w:highlight w:val="yellow"/>
        </w:rPr>
        <w:t>partner 2 full legal name</w:t>
      </w:r>
      <w:r>
        <w:rPr>
          <w:sz w:val="19"/>
        </w:rPr>
        <w:t xml:space="preserve"> (each a “Partner”)</w:t>
      </w:r>
    </w:p>
    <w:p>
      <w:r>
        <w:rPr>
          <w:b/>
          <w:sz w:val="19"/>
        </w:rPr>
        <w:t xml:space="preserve">Effective date: </w:t>
      </w:r>
      <w:r>
        <w:rPr>
          <w:color w:val="5A3A00"/>
          <w:sz w:val="19"/>
          <w:highlight w:val="yellow"/>
        </w:rPr>
        <w:t>date</w:t>
      </w:r>
      <w:r>
        <w:rPr>
          <w:sz w:val="19"/>
        </w:rPr>
        <w:t xml:space="preserve">   ·   </w:t>
      </w:r>
      <w:r>
        <w:rPr>
          <w:b/>
          <w:sz w:val="19"/>
        </w:rPr>
        <w:t xml:space="preserve">Outside date for definitive agreements: </w:t>
      </w:r>
      <w:r>
        <w:rPr>
          <w:color w:val="5A3A00"/>
          <w:sz w:val="19"/>
          <w:highlight w:val="yellow"/>
        </w:rPr>
        <w:t>date</w:t>
      </w:r>
    </w:p>
    <w:p>
      <w:pPr>
        <w:spacing w:after="40"/>
      </w:pPr>
    </w:p>
    <w:p>
      <w:r>
        <w:rPr>
          <w:b/>
          <w:sz w:val="19"/>
        </w:rPr>
        <w:t xml:space="preserve">1. Intent. </w:t>
      </w:r>
      <w:r>
        <w:rPr>
          <w:sz w:val="19"/>
        </w:rPr>
        <w:t xml:space="preserve">The Partners intend to build </w:t>
      </w:r>
      <w:r>
        <w:rPr>
          <w:color w:val="5A3A00"/>
          <w:sz w:val="19"/>
          <w:highlight w:val="yellow"/>
        </w:rPr>
        <w:t>what the venture makes, for whom, and the problem it solves</w:t>
      </w:r>
      <w:r>
        <w:rPr>
          <w:sz w:val="19"/>
        </w:rPr>
        <w:t>. This memorandum records what they have agreed in principle so that definitive agreements can be drafted from it.</w:t>
      </w:r>
    </w:p>
    <w:p>
      <w:r>
        <w:rPr>
          <w:b/>
          <w:sz w:val="19"/>
        </w:rPr>
        <w:t xml:space="preserve">2. Structure. </w:t>
      </w:r>
      <w:r>
        <w:rPr>
          <w:sz w:val="19"/>
        </w:rPr>
        <w:t xml:space="preserve">The Venture will operate through </w:t>
      </w:r>
      <w:r>
        <w:rPr>
          <w:color w:val="5A3A00"/>
          <w:sz w:val="19"/>
          <w:highlight w:val="yellow"/>
        </w:rPr>
        <w:t>entity name</w:t>
      </w:r>
      <w:r>
        <w:rPr>
          <w:sz w:val="19"/>
        </w:rPr>
        <w:t xml:space="preserve">, a </w:t>
      </w:r>
      <w:r>
        <w:rPr>
          <w:color w:val="5A3A00"/>
          <w:sz w:val="19"/>
          <w:highlight w:val="yellow"/>
        </w:rPr>
        <w:t>entity type and jurisdiction</w:t>
      </w:r>
      <w:r>
        <w:rPr>
          <w:sz w:val="19"/>
        </w:rPr>
        <w:t xml:space="preserve"> to be formed by </w:t>
      </w:r>
      <w:r>
        <w:rPr>
          <w:color w:val="5A3A00"/>
          <w:sz w:val="19"/>
          <w:highlight w:val="yellow"/>
        </w:rPr>
        <w:t>date</w:t>
      </w:r>
      <w:r>
        <w:rPr>
          <w:sz w:val="19"/>
        </w:rPr>
        <w:t xml:space="preserve">. Each Partner will hold their interest </w:t>
      </w:r>
      <w:r>
        <w:rPr>
          <w:color w:val="5A3A00"/>
          <w:sz w:val="19"/>
          <w:highlight w:val="yellow"/>
        </w:rPr>
        <w:t>directly / through a founders’ holding vehicle</w:t>
      </w:r>
      <w:r>
        <w:rPr>
          <w:sz w:val="19"/>
        </w:rPr>
        <w:t xml:space="preserve">. Initial capital: </w:t>
      </w:r>
      <w:r>
        <w:rPr>
          <w:color w:val="5A3A00"/>
          <w:sz w:val="19"/>
          <w:highlight w:val="yellow"/>
        </w:rPr>
        <w:t>amount and who contributes it, or “none”</w:t>
      </w:r>
      <w:r>
        <w:rPr>
          <w:sz w:val="19"/>
        </w:rPr>
        <w:t>.</w:t>
      </w:r>
    </w:p>
    <w:p>
      <w:r>
        <w:rPr>
          <w:b/>
          <w:sz w:val="19"/>
        </w:rPr>
        <w:t xml:space="preserve">3. Equity. </w:t>
      </w:r>
      <w:r>
        <w:rPr>
          <w:sz w:val="19"/>
        </w:rPr>
        <w:t>Founding equity, fully diluted, before outside investment: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249"/>
          </w:tcPr>
          <w:p>
            <w:r/>
            <w:r>
              <w:rPr>
                <w:rFonts w:ascii="Calibri" w:hAnsi="Calibri"/>
                <w:b/>
                <w:sz w:val="16"/>
              </w:rPr>
              <w:t>Partner</w:t>
            </w:r>
          </w:p>
        </w:tc>
        <w:tc>
          <w:tcPr>
            <w:tcW w:type="dxa" w:w="1329"/>
          </w:tcPr>
          <w:p>
            <w:r/>
            <w:r>
              <w:rPr>
                <w:rFonts w:ascii="Calibri" w:hAnsi="Calibri"/>
                <w:b/>
                <w:sz w:val="16"/>
              </w:rPr>
              <w:t>Founding equity</w:t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/>
                <w:sz w:val="16"/>
              </w:rPr>
              <w:t>Consideration</w:t>
            </w:r>
          </w:p>
        </w:tc>
        <w:tc>
          <w:tcPr>
            <w:tcW w:type="dxa" w:w="2249"/>
          </w:tcPr>
          <w:p>
            <w:r/>
            <w:r>
              <w:rPr>
                <w:rFonts w:ascii="Calibri" w:hAnsi="Calibri"/>
                <w:b/>
                <w:sz w:val="16"/>
              </w:rPr>
              <w:t>Vesting</w:t>
            </w:r>
          </w:p>
        </w:tc>
        <w:tc>
          <w:tcPr>
            <w:tcW w:type="dxa" w:w="1636"/>
          </w:tcPr>
          <w:p>
            <w:r/>
            <w:r>
              <w:rPr>
                <w:rFonts w:ascii="Calibri" w:hAnsi="Calibri"/>
                <w:b/>
                <w:sz w:val="16"/>
              </w:rPr>
              <w:t>Cliff</w:t>
            </w:r>
          </w:p>
        </w:tc>
      </w:tr>
      <w:tr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name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%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cash / services / IP / combination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4 years, monthly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12 months</w:t>
            </w:r>
          </w:p>
        </w:tc>
      </w:tr>
      <w:tr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name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%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cash / services / IP / combination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4 years, monthly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12 months</w:t>
            </w:r>
          </w:p>
        </w:tc>
      </w:tr>
      <w:tr>
        <w:tc>
          <w:tcPr>
            <w:tcW w:type="dxa" w:w="2045"/>
          </w:tcPr>
          <w:p>
            <w:r>
              <w:rPr>
                <w:rFonts w:ascii="Calibri" w:hAnsi="Calibri"/>
                <w:sz w:val="16"/>
              </w:rPr>
              <w:t>Reserved option pool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%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sz w:val="16"/>
              </w:rPr>
              <w:t>—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sz w:val="16"/>
              </w:rPr>
              <w:t>—</w:t>
            </w:r>
          </w:p>
        </w:tc>
        <w:tc>
          <w:tcPr>
            <w:tcW w:type="dxa" w:w="2045"/>
          </w:tcPr>
          <w:p>
            <w:r>
              <w:rPr>
                <w:rFonts w:ascii="Calibri" w:hAnsi="Calibri"/>
                <w:sz w:val="16"/>
              </w:rPr>
              <w:t>—</w:t>
            </w:r>
          </w:p>
        </w:tc>
      </w:tr>
    </w:tbl>
    <w:p>
      <w:pPr>
        <w:spacing w:after="40"/>
      </w:pPr>
    </w:p>
    <w:p>
      <w:r>
        <w:rPr>
          <w:sz w:val="19"/>
        </w:rPr>
        <w:t xml:space="preserve">Vesting commences </w:t>
      </w:r>
      <w:r>
        <w:rPr>
          <w:color w:val="5A3A00"/>
          <w:sz w:val="19"/>
          <w:highlight w:val="yellow"/>
        </w:rPr>
        <w:t>date</w:t>
      </w:r>
      <w:r>
        <w:rPr>
          <w:sz w:val="19"/>
        </w:rPr>
        <w:t xml:space="preserve">. Acceleration: </w:t>
      </w:r>
      <w:r>
        <w:rPr>
          <w:color w:val="5A3A00"/>
          <w:sz w:val="19"/>
          <w:highlight w:val="yellow"/>
        </w:rPr>
        <w:t>none / single-trigger on change of control / double-trigger on change of control and involuntary termination</w:t>
      </w:r>
      <w:r>
        <w:rPr>
          <w:sz w:val="19"/>
        </w:rPr>
        <w:t>. Dilution from future financings is borne pro rata by all Partners unless they unanimously agree otherwise.</w:t>
      </w:r>
    </w:p>
    <w:p>
      <w:r>
        <w:rPr>
          <w:b/>
          <w:sz w:val="19"/>
        </w:rPr>
        <w:t xml:space="preserve">4. Other compensation. </w:t>
      </w:r>
      <w:r>
        <w:rPr>
          <w:sz w:val="19"/>
        </w:rPr>
        <w:t>Beyond equity, the Partners intend: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58"/>
          </w:tcPr>
          <w:p>
            <w:r/>
            <w:r>
              <w:rPr>
                <w:rFonts w:ascii="Calibri" w:hAnsi="Calibri"/>
                <w:b/>
                <w:sz w:val="16"/>
              </w:rPr>
              <w:t>Item</w:t>
            </w:r>
          </w:p>
        </w:tc>
        <w:tc>
          <w:tcPr>
            <w:tcW w:type="dxa" w:w="7566"/>
          </w:tcPr>
          <w:p>
            <w:r/>
            <w:r>
              <w:rPr>
                <w:rFonts w:ascii="Calibri" w:hAnsi="Calibri"/>
                <w:b/>
                <w:sz w:val="16"/>
              </w:rPr>
              <w:t>Terms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Salary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none until [milestone]; then [amount] per Partner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Deferred or accrued compensation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amount, trigger for payment, and whether it converts to equity, or “none”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Expense reimbursement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what is reimbursable, and any approval threshold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Profit distributions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policy and who approves, or “none until the Partners agree otherwise”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Other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benefits, advisory fees, contractor rates, or “none”</w:t>
            </w:r>
          </w:p>
        </w:tc>
      </w:tr>
    </w:tbl>
    <w:p>
      <w:pPr>
        <w:spacing w:after="40"/>
      </w:pPr>
    </w:p>
    <w:p>
      <w:r>
        <w:rPr>
          <w:b/>
          <w:sz w:val="19"/>
        </w:rPr>
        <w:t xml:space="preserve">5. Roles and responsibilities. </w:t>
      </w:r>
      <w:r>
        <w:rPr>
          <w:sz w:val="19"/>
        </w:rPr>
        <w:t>Each Partner is individually accountable for their column and holds day-to-day authority within it: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045"/>
          </w:tcPr>
          <w:p>
            <w:r/>
            <w:r>
              <w:rPr>
                <w:rFonts w:ascii="Calibri" w:hAnsi="Calibri"/>
                <w:b/>
                <w:sz w:val="16"/>
              </w:rPr>
              <w:t>Partner</w:t>
            </w:r>
          </w:p>
        </w:tc>
        <w:tc>
          <w:tcPr>
            <w:tcW w:type="dxa" w:w="1636"/>
          </w:tcPr>
          <w:p>
            <w:r/>
            <w:r>
              <w:rPr>
                <w:rFonts w:ascii="Calibri" w:hAnsi="Calibri"/>
                <w:b/>
                <w:sz w:val="16"/>
              </w:rPr>
              <w:t>Title</w:t>
            </w:r>
          </w:p>
        </w:tc>
        <w:tc>
          <w:tcPr>
            <w:tcW w:type="dxa" w:w="4090"/>
          </w:tcPr>
          <w:p>
            <w:r/>
            <w:r>
              <w:rPr>
                <w:rFonts w:ascii="Calibri" w:hAnsi="Calibri"/>
                <w:b/>
                <w:sz w:val="16"/>
              </w:rPr>
              <w:t>Accountable for</w:t>
            </w:r>
          </w:p>
        </w:tc>
        <w:tc>
          <w:tcPr>
            <w:tcW w:type="dxa" w:w="2454"/>
          </w:tcPr>
          <w:p>
            <w:r/>
            <w:r>
              <w:rPr>
                <w:rFonts w:ascii="Calibri" w:hAnsi="Calibri"/>
                <w:b/>
                <w:sz w:val="16"/>
              </w:rPr>
              <w:t>Time commitment</w:t>
            </w:r>
          </w:p>
        </w:tc>
      </w:tr>
      <w:tr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name</w:t>
            </w:r>
          </w:p>
        </w:tc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title</w:t>
            </w:r>
          </w:p>
        </w:tc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the 3–5 outcomes this Partner owns</w:t>
            </w:r>
          </w:p>
        </w:tc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full-time from [date]</w:t>
            </w:r>
          </w:p>
        </w:tc>
      </w:tr>
      <w:tr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name</w:t>
            </w:r>
          </w:p>
        </w:tc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title</w:t>
            </w:r>
          </w:p>
        </w:tc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the 3–5 outcomes this Partner owns</w:t>
            </w:r>
          </w:p>
        </w:tc>
        <w:tc>
          <w:tcPr>
            <w:tcW w:type="dxa" w:w="2556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full-time from [date]</w:t>
            </w:r>
          </w:p>
        </w:tc>
      </w:tr>
    </w:tbl>
    <w:p>
      <w:pPr>
        <w:spacing w:after="40"/>
      </w:pPr>
    </w:p>
    <w:p>
      <w:r>
        <w:rPr>
          <w:sz w:val="19"/>
        </w:rPr>
        <w:t xml:space="preserve">Decisions outside a Partner’s own column require </w:t>
      </w:r>
      <w:r>
        <w:rPr>
          <w:color w:val="5A3A00"/>
          <w:sz w:val="19"/>
          <w:highlight w:val="yellow"/>
        </w:rPr>
        <w:t>unanimous / __%</w:t>
      </w:r>
      <w:r>
        <w:rPr>
          <w:sz w:val="19"/>
        </w:rPr>
        <w:t xml:space="preserve"> written approval, including: spending above </w:t>
      </w:r>
      <w:r>
        <w:rPr>
          <w:color w:val="5A3A00"/>
          <w:sz w:val="19"/>
          <w:highlight w:val="yellow"/>
        </w:rPr>
        <w:t>amount</w:t>
      </w:r>
      <w:r>
        <w:rPr>
          <w:sz w:val="19"/>
        </w:rPr>
        <w:t xml:space="preserve">; hiring; raising capital or incurring debt; issuing equity; changing the business or this memorandum; entering any contract above </w:t>
      </w:r>
      <w:r>
        <w:rPr>
          <w:color w:val="5A3A00"/>
          <w:sz w:val="19"/>
          <w:highlight w:val="yellow"/>
        </w:rPr>
        <w:t>amount</w:t>
      </w:r>
      <w:r>
        <w:rPr>
          <w:sz w:val="19"/>
        </w:rPr>
        <w:t xml:space="preserve">; and selling the Venture. Deadlock: </w:t>
      </w:r>
      <w:r>
        <w:rPr>
          <w:color w:val="5A3A00"/>
          <w:sz w:val="19"/>
          <w:highlight w:val="yellow"/>
        </w:rPr>
        <w:t>escalation path and time limit</w:t>
      </w:r>
      <w:r>
        <w:rPr>
          <w:sz w:val="19"/>
        </w:rPr>
        <w:t>.</w:t>
      </w:r>
    </w:p>
    <w:p>
      <w:r>
        <w:rPr>
          <w:b/>
          <w:sz w:val="19"/>
        </w:rPr>
        <w:t xml:space="preserve">6. Intellectual property. </w:t>
      </w:r>
      <w:r>
        <w:rPr>
          <w:sz w:val="19"/>
        </w:rPr>
        <w:t xml:space="preserve">All work created for the Venture is intended to belong to the entity, and each Partner will sign an invention-assignment and confidentiality agreement at formation. Background intellectual property each Partner brings: </w:t>
      </w:r>
      <w:r>
        <w:rPr>
          <w:color w:val="5A3A00"/>
          <w:sz w:val="19"/>
          <w:highlight w:val="yellow"/>
        </w:rPr>
        <w:t>list, or “none”</w:t>
      </w:r>
      <w:r>
        <w:rPr>
          <w:sz w:val="19"/>
        </w:rPr>
        <w:t xml:space="preserve">, which remains that Partner’s and is licensed to the Venture </w:t>
      </w:r>
      <w:r>
        <w:rPr>
          <w:color w:val="5A3A00"/>
          <w:sz w:val="19"/>
          <w:highlight w:val="yellow"/>
        </w:rPr>
        <w:t>perpetually and royalty-free / on terms to be agreed in the definitive agreements</w:t>
      </w:r>
      <w:r>
        <w:rPr>
          <w:sz w:val="19"/>
        </w:rPr>
        <w:t>.</w:t>
      </w:r>
    </w:p>
    <w:p>
      <w:r>
        <w:rPr>
          <w:b/>
          <w:sz w:val="19"/>
        </w:rPr>
        <w:t xml:space="preserve">7. Exit intent. </w:t>
      </w:r>
      <w:r>
        <w:rPr>
          <w:sz w:val="19"/>
        </w:rPr>
        <w:t>The Partners record the following shared intention and will build toward it: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58"/>
          </w:tcPr>
          <w:p>
            <w:r/>
            <w:r>
              <w:rPr>
                <w:rFonts w:ascii="Calibri" w:hAnsi="Calibri"/>
                <w:b/>
                <w:sz w:val="16"/>
              </w:rPr>
              <w:t>Item</w:t>
            </w:r>
          </w:p>
        </w:tc>
        <w:tc>
          <w:tcPr>
            <w:tcW w:type="dxa" w:w="7566"/>
          </w:tcPr>
          <w:p>
            <w:r/>
            <w:r>
              <w:rPr>
                <w:rFonts w:ascii="Calibri" w:hAnsi="Calibri"/>
                <w:b/>
                <w:sz w:val="16"/>
              </w:rPr>
              <w:t>Intent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Preferred outcome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strategic acquisition / initial public offering / independent cash-flow business paying distributions / buyout of one or more Partners / no predetermined outcome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Target window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5–7 years from the effective date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Target valuation or return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e.g. not below [amount] enterprise value, or “no target set”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When a process starts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the trigger — e.g. an inbound offer above target, or a Partner vote after [date]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Approval to accept an offer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color w:val="5A3A00"/>
                <w:sz w:val="16"/>
                <w:highlight w:val="yellow"/>
              </w:rPr>
              <w:t>unanimous / __% of Partner equity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Drag-along and tag-along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Definitive agreements are intended to include drag-along rights on an approved sale and tag-along rights protecting every Partner on a transfer by another.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If no exit by the target window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 xml:space="preserve">The Partners will meet within </w:t>
            </w:r>
            <w:r>
              <w:rPr>
                <w:rFonts w:ascii="Calibri" w:hAnsi="Calibri"/>
                <w:color w:val="5A3A00"/>
                <w:sz w:val="16"/>
                <w:highlight w:val="yellow"/>
              </w:rPr>
              <w:t>days</w:t>
            </w:r>
            <w:r>
              <w:rPr>
                <w:rFonts w:ascii="Calibri" w:hAnsi="Calibri"/>
                <w:sz w:val="16"/>
              </w:rPr>
              <w:t xml:space="preserve"> days and </w:t>
            </w:r>
            <w:r>
              <w:rPr>
                <w:rFonts w:ascii="Calibri" w:hAnsi="Calibri"/>
                <w:color w:val="5A3A00"/>
                <w:sz w:val="16"/>
                <w:highlight w:val="yellow"/>
              </w:rPr>
              <w:t>extend the window / start a buy-sell at independently determined fair market value / wind the Venture down</w:t>
            </w:r>
            <w:r>
              <w:rPr>
                <w:rFonts w:ascii="Calibri" w:hAnsi="Calibri"/>
                <w:sz w:val="16"/>
              </w:rPr>
              <w:t>.</w:t>
            </w:r>
          </w:p>
        </w:tc>
      </w:tr>
      <w:tr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>Individual side deals</w:t>
            </w:r>
          </w:p>
        </w:tc>
        <w:tc>
          <w:tcPr>
            <w:tcW w:type="dxa" w:w="5112"/>
          </w:tcPr>
          <w:p>
            <w:r>
              <w:rPr>
                <w:rFonts w:ascii="Calibri" w:hAnsi="Calibri"/>
                <w:sz w:val="16"/>
              </w:rPr>
              <w:t xml:space="preserve">No Partner will negotiate or accept a purchase of their own interest, or a role offer conditioned on transferring it, without first disclosing it to the other Partners and offering them </w:t>
            </w:r>
            <w:r>
              <w:rPr>
                <w:rFonts w:ascii="Calibri" w:hAnsi="Calibri"/>
                <w:color w:val="5A3A00"/>
                <w:sz w:val="16"/>
                <w:highlight w:val="yellow"/>
              </w:rPr>
              <w:t>a right of first refusal / the right to participate pro rata</w:t>
            </w:r>
            <w:r>
              <w:rPr>
                <w:rFonts w:ascii="Calibri" w:hAnsi="Calibri"/>
                <w:sz w:val="16"/>
              </w:rPr>
              <w:t>.</w:t>
            </w:r>
          </w:p>
        </w:tc>
      </w:tr>
    </w:tbl>
    <w:p>
      <w:pPr>
        <w:spacing w:after="40"/>
      </w:pPr>
    </w:p>
    <w:p>
      <w:r>
        <w:rPr>
          <w:b/>
          <w:sz w:val="19"/>
        </w:rPr>
        <w:t xml:space="preserve">8. Definitive agreements. </w:t>
      </w:r>
      <w:r>
        <w:rPr>
          <w:sz w:val="19"/>
        </w:rPr>
        <w:t xml:space="preserve">The Partners intend to sign, by the outside date above: entity formation documents; a founders’ or operating agreement; equity purchase documents with the vesting in Clause 3; invention-assignment and confidentiality agreements; and </w:t>
      </w:r>
      <w:r>
        <w:rPr>
          <w:color w:val="5A3A00"/>
          <w:sz w:val="19"/>
          <w:highlight w:val="yellow"/>
        </w:rPr>
        <w:t>any additional documents, or “none”</w:t>
      </w:r>
      <w:r>
        <w:rPr>
          <w:sz w:val="19"/>
        </w:rPr>
        <w:t>. If those are not signed by the outside date, this memorandum expires unless the Partners extend it in writing.</w:t>
      </w:r>
    </w:p>
    <w:p>
      <w:r>
        <w:rPr>
          <w:b/>
          <w:sz w:val="19"/>
        </w:rPr>
        <w:t xml:space="preserve">9. Binding effect. </w:t>
      </w:r>
      <w:r>
        <w:rPr>
          <w:b/>
          <w:sz w:val="19"/>
        </w:rPr>
        <w:t xml:space="preserve">Clauses 1 through 8 record intent only and are not legally binding. </w:t>
      </w:r>
      <w:r>
        <w:rPr>
          <w:sz w:val="19"/>
        </w:rPr>
        <w:t xml:space="preserve">No Partner may sue on them, and no obligation to form the Venture, contribute capital, transfer property, or issue equity arises until definitive agreements are signed. </w:t>
      </w:r>
      <w:r>
        <w:rPr>
          <w:b/>
          <w:sz w:val="19"/>
        </w:rPr>
        <w:t>The following are intended to be legally binding and to survive expiry or termination:</w:t>
      </w:r>
    </w:p>
    <w:p>
      <w:pPr>
        <w:spacing w:after="60"/>
        <w:ind w:left="230"/>
      </w:pPr>
      <w:r>
        <w:rPr>
          <w:b/>
          <w:sz w:val="19"/>
        </w:rPr>
        <w:t xml:space="preserve">9.1 Confidentiality. </w:t>
      </w:r>
      <w:r>
        <w:rPr>
          <w:sz w:val="19"/>
        </w:rPr>
        <w:t xml:space="preserve">Each Partner will keep the other Partners’ non-public information, and the existence and contents of this memorandum, confidential for </w:t>
      </w:r>
      <w:r>
        <w:rPr>
          <w:color w:val="5A3A00"/>
          <w:sz w:val="19"/>
          <w:highlight w:val="yellow"/>
        </w:rPr>
        <w:t>period</w:t>
      </w:r>
      <w:r>
        <w:rPr>
          <w:sz w:val="19"/>
        </w:rPr>
        <w:t xml:space="preserve"> and use it only to evaluate and pursue the Venture.</w:t>
      </w:r>
    </w:p>
    <w:p>
      <w:pPr>
        <w:spacing w:after="60"/>
        <w:ind w:left="230"/>
      </w:pPr>
      <w:r>
        <w:rPr>
          <w:b/>
          <w:sz w:val="19"/>
        </w:rPr>
        <w:t xml:space="preserve">9.2 Exclusivity. </w:t>
      </w:r>
      <w:r>
        <w:rPr>
          <w:sz w:val="19"/>
        </w:rPr>
        <w:t xml:space="preserve">Until the outside date, no Partner will pursue, fund, or join a venture that competes with the Venture as described in Clause 1, except </w:t>
      </w:r>
      <w:r>
        <w:rPr>
          <w:color w:val="5A3A00"/>
          <w:sz w:val="19"/>
          <w:highlight w:val="yellow"/>
        </w:rPr>
        <w:t>carve-outs, or “no exceptions”</w:t>
      </w:r>
      <w:r>
        <w:rPr>
          <w:sz w:val="19"/>
        </w:rPr>
        <w:t>.</w:t>
      </w:r>
    </w:p>
    <w:p>
      <w:pPr>
        <w:spacing w:after="60"/>
        <w:ind w:left="230"/>
      </w:pPr>
      <w:r>
        <w:rPr>
          <w:b/>
          <w:sz w:val="19"/>
        </w:rPr>
        <w:t xml:space="preserve">9.3 Costs. </w:t>
      </w:r>
      <w:r>
        <w:rPr>
          <w:sz w:val="19"/>
        </w:rPr>
        <w:t>Each Partner bears their own costs, including legal fees, unless otherwise agreed in writing.</w:t>
      </w:r>
    </w:p>
    <w:p>
      <w:pPr>
        <w:spacing w:after="60"/>
        <w:ind w:left="230"/>
      </w:pPr>
      <w:r>
        <w:rPr>
          <w:b/>
          <w:sz w:val="19"/>
        </w:rPr>
        <w:t xml:space="preserve">9.4 No partnership or employment. </w:t>
      </w:r>
      <w:r>
        <w:rPr>
          <w:sz w:val="19"/>
        </w:rPr>
        <w:t>Nothing here creates a partnership, joint venture, agency, fiduciary, or employment relationship between the Partners, or authority to bind another Partner.</w:t>
      </w:r>
    </w:p>
    <w:p>
      <w:pPr>
        <w:spacing w:after="60"/>
        <w:ind w:left="230"/>
      </w:pPr>
      <w:r>
        <w:rPr>
          <w:b/>
          <w:sz w:val="19"/>
        </w:rPr>
        <w:t xml:space="preserve">9.5 Governing law and disputes. </w:t>
      </w:r>
      <w:r>
        <w:rPr>
          <w:sz w:val="19"/>
        </w:rPr>
        <w:t xml:space="preserve">This memorandum is governed by the laws of </w:t>
      </w:r>
      <w:r>
        <w:rPr>
          <w:color w:val="5A3A00"/>
          <w:sz w:val="19"/>
          <w:highlight w:val="yellow"/>
        </w:rPr>
        <w:t>jurisdiction</w:t>
      </w:r>
      <w:r>
        <w:rPr>
          <w:sz w:val="19"/>
        </w:rPr>
        <w:t xml:space="preserve">. Disputes will be resolved by </w:t>
      </w:r>
      <w:r>
        <w:rPr>
          <w:color w:val="5A3A00"/>
          <w:sz w:val="19"/>
          <w:highlight w:val="yellow"/>
        </w:rPr>
        <w:t>good-faith negotiation, then mediation, then the courts of [venue] / good-faith negotiation, then binding arbitration seated in [seat] under [rules]</w:t>
      </w:r>
      <w:r>
        <w:rPr>
          <w:sz w:val="19"/>
        </w:rPr>
        <w:t>.</w:t>
      </w:r>
    </w:p>
    <w:p>
      <w:pPr>
        <w:spacing w:after="60"/>
        <w:ind w:left="230"/>
      </w:pPr>
      <w:r>
        <w:rPr>
          <w:b/>
          <w:sz w:val="19"/>
        </w:rPr>
        <w:t xml:space="preserve">9.6 Whole understanding. </w:t>
      </w:r>
      <w:r>
        <w:rPr>
          <w:sz w:val="19"/>
        </w:rPr>
        <w:t>This is the Partners’ entire understanding on its subject matter, replaces prior discussions, and may be changed only in writing signed by every Partner.</w:t>
      </w:r>
    </w:p>
    <w:p>
      <w:r>
        <w:rPr>
          <w:b/>
          <w:sz w:val="19"/>
        </w:rPr>
        <w:t>10. Signed.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76"/>
          </w:tcPr>
          <w:p>
            <w:r/>
            <w:r>
              <w:rPr>
                <w:rFonts w:ascii="Calibri" w:hAnsi="Calibri"/>
                <w:b/>
                <w:sz w:val="16"/>
              </w:rPr>
              <w:t>Partner</w:t>
            </w:r>
          </w:p>
        </w:tc>
        <w:tc>
          <w:tcPr>
            <w:tcW w:type="dxa" w:w="4499"/>
          </w:tcPr>
          <w:p>
            <w:r/>
            <w:r>
              <w:rPr>
                <w:rFonts w:ascii="Calibri" w:hAnsi="Calibri"/>
                <w:b/>
                <w:sz w:val="16"/>
              </w:rPr>
              <w:t>Signature</w:t>
            </w:r>
          </w:p>
        </w:tc>
        <w:tc>
          <w:tcPr>
            <w:tcW w:type="dxa" w:w="2249"/>
          </w:tcPr>
          <w:p>
            <w:r/>
            <w:r>
              <w:rPr>
                <w:rFonts w:ascii="Calibri" w:hAnsi="Calibri"/>
                <w:b/>
                <w:sz w:val="16"/>
              </w:rPr>
              <w:t>Date</w:t>
            </w:r>
          </w:p>
        </w:tc>
      </w:tr>
      <w:tr>
        <w:tc>
          <w:tcPr>
            <w:tcW w:type="dxa" w:w="3408"/>
          </w:tcPr>
          <w:p>
            <w:pPr>
              <w:spacing w:before="140" w:after="140"/>
            </w:pPr>
            <w:r>
              <w:rPr>
                <w:rFonts w:ascii="Calibri" w:hAnsi="Calibri"/>
                <w:color w:val="5A3A00"/>
                <w:sz w:val="16"/>
                <w:highlight w:val="yellow"/>
              </w:rPr>
              <w:t>name</w:t>
            </w:r>
          </w:p>
        </w:tc>
        <w:tc>
          <w:tcPr>
            <w:tcW w:type="dxa" w:w="3408"/>
          </w:tcPr>
          <w:p>
            <w:pPr>
              <w:spacing w:before="140" w:after="1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3408"/>
          </w:tcPr>
          <w:p>
            <w:pPr>
              <w:spacing w:before="140" w:after="1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3408"/>
          </w:tcPr>
          <w:p>
            <w:pPr>
              <w:spacing w:before="140" w:after="140"/>
            </w:pPr>
            <w:r>
              <w:rPr>
                <w:rFonts w:ascii="Calibri" w:hAnsi="Calibri"/>
                <w:color w:val="5A3A00"/>
                <w:sz w:val="16"/>
                <w:highlight w:val="yellow"/>
              </w:rPr>
              <w:t>name</w:t>
            </w:r>
          </w:p>
        </w:tc>
        <w:tc>
          <w:tcPr>
            <w:tcW w:type="dxa" w:w="3408"/>
          </w:tcPr>
          <w:p>
            <w:pPr>
              <w:spacing w:before="140" w:after="1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3408"/>
          </w:tcPr>
          <w:p>
            <w:pPr>
              <w:spacing w:before="140" w:after="140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/>
        <w:color w:val="6D655D"/>
        <w:sz w:val="14"/>
      </w:rPr>
      <w:t>Template — not legal advice. Review by qualified counsel before signature. Awake Venture Memorandum of Understanding v1.0 · CC BY 4.0 · cofounder.community/legal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